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7EC0" w:rsidRDefault="00431A4B">
      <w:pPr>
        <w:widowControl w:val="0"/>
        <w:spacing w:after="240" w:line="276" w:lineRule="auto"/>
        <w:jc w:val="right"/>
        <w:rPr>
          <w:rFonts w:ascii="Arial" w:eastAsia="Arial" w:hAnsi="Arial" w:cs="Arial"/>
          <w:sz w:val="22"/>
          <w:szCs w:val="22"/>
        </w:rPr>
      </w:pPr>
      <w:r>
        <w:rPr>
          <w:rFonts w:ascii="Arial" w:eastAsia="Arial" w:hAnsi="Arial" w:cs="Arial"/>
          <w:sz w:val="22"/>
          <w:szCs w:val="22"/>
          <w:highlight w:val="yellow"/>
        </w:rPr>
        <w:t>CIUDAD, FECHA</w:t>
      </w:r>
    </w:p>
    <w:p w14:paraId="00000002" w14:textId="77777777" w:rsidR="00877EC0" w:rsidRDefault="00431A4B">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877EC0" w:rsidRDefault="00431A4B">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877EC0" w:rsidRDefault="00431A4B">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5" w14:textId="77777777" w:rsidR="00877EC0" w:rsidRDefault="00431A4B">
      <w:pPr>
        <w:widowControl w:val="0"/>
        <w:spacing w:before="240" w:after="240" w:line="276" w:lineRule="auto"/>
        <w:rPr>
          <w:rFonts w:ascii="Arial" w:eastAsia="Arial" w:hAnsi="Arial" w:cs="Arial"/>
          <w:sz w:val="22"/>
          <w:szCs w:val="22"/>
          <w:highlight w:val="white"/>
        </w:rPr>
      </w:pPr>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00000006" w14:textId="77777777" w:rsidR="00877EC0" w:rsidRDefault="00431A4B">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7" w14:textId="30849CA1" w:rsidR="00877EC0" w:rsidRDefault="00877EC0">
      <w:pPr>
        <w:widowControl w:val="0"/>
        <w:spacing w:line="276" w:lineRule="auto"/>
        <w:rPr>
          <w:rFonts w:ascii="Arial" w:eastAsia="Arial" w:hAnsi="Arial" w:cs="Arial"/>
          <w:sz w:val="22"/>
          <w:szCs w:val="22"/>
        </w:rPr>
      </w:pPr>
    </w:p>
    <w:p w14:paraId="6A79A4FA" w14:textId="77777777" w:rsidR="00801505" w:rsidRDefault="00801505">
      <w:pPr>
        <w:widowControl w:val="0"/>
        <w:spacing w:line="276" w:lineRule="auto"/>
        <w:rPr>
          <w:rFonts w:ascii="Arial" w:eastAsia="Arial" w:hAnsi="Arial" w:cs="Arial"/>
          <w:sz w:val="22"/>
          <w:szCs w:val="22"/>
        </w:rPr>
      </w:pPr>
    </w:p>
    <w:p w14:paraId="00000008" w14:textId="77777777" w:rsidR="00877EC0" w:rsidRDefault="00431A4B">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9" w14:textId="77777777" w:rsidR="00877EC0" w:rsidRDefault="00877EC0">
      <w:pPr>
        <w:widowControl w:val="0"/>
        <w:spacing w:line="276" w:lineRule="auto"/>
        <w:jc w:val="both"/>
        <w:rPr>
          <w:rFonts w:ascii="Arial" w:eastAsia="Arial" w:hAnsi="Arial" w:cs="Arial"/>
          <w:sz w:val="22"/>
          <w:szCs w:val="22"/>
        </w:rPr>
      </w:pPr>
    </w:p>
    <w:p w14:paraId="0000000A"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MUJER,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concurro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B" w14:textId="77777777" w:rsidR="00877EC0" w:rsidRDefault="00877EC0">
      <w:pPr>
        <w:widowControl w:val="0"/>
        <w:spacing w:line="276" w:lineRule="auto"/>
        <w:jc w:val="both"/>
        <w:rPr>
          <w:rFonts w:ascii="Arial" w:eastAsia="Arial" w:hAnsi="Arial" w:cs="Arial"/>
          <w:sz w:val="22"/>
          <w:szCs w:val="22"/>
        </w:rPr>
      </w:pPr>
    </w:p>
    <w:p w14:paraId="0000000C"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PONER NOMBRE DE LA MUJER</w:t>
      </w:r>
      <w:r>
        <w:rPr>
          <w:rFonts w:ascii="Arial" w:eastAsia="Arial" w:hAnsi="Arial" w:cs="Arial"/>
          <w:sz w:val="22"/>
          <w:szCs w:val="22"/>
        </w:rPr>
        <w:t xml:space="preserve">  voluntariamente, requiero</w:t>
      </w:r>
      <w:r>
        <w:rPr>
          <w:rFonts w:ascii="Arial" w:eastAsia="Arial" w:hAnsi="Arial" w:cs="Arial"/>
          <w:sz w:val="22"/>
          <w:szCs w:val="22"/>
        </w:rPr>
        <w:t xml:space="preserve"> acceder al procedimiento para lo cual presento esta solicitud, pidiendo su resolución inmediata y sin ninguna traba de acuerdo a lo ordenado en la ley en cuestión y en la sentencia 34-19-IN y acumulados. </w:t>
      </w:r>
    </w:p>
    <w:p w14:paraId="0000000D" w14:textId="77777777" w:rsidR="00877EC0" w:rsidRDefault="00877EC0">
      <w:pPr>
        <w:widowControl w:val="0"/>
        <w:spacing w:line="276" w:lineRule="auto"/>
        <w:jc w:val="both"/>
        <w:rPr>
          <w:rFonts w:ascii="Arial" w:eastAsia="Arial" w:hAnsi="Arial" w:cs="Arial"/>
          <w:sz w:val="22"/>
          <w:szCs w:val="22"/>
        </w:rPr>
      </w:pPr>
    </w:p>
    <w:p w14:paraId="0000000E" w14:textId="77777777" w:rsidR="00877EC0" w:rsidRDefault="00431A4B">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salud </w:t>
      </w:r>
    </w:p>
    <w:p w14:paraId="0000000F" w14:textId="77777777" w:rsidR="00877EC0" w:rsidRDefault="00877EC0">
      <w:pPr>
        <w:widowControl w:val="0"/>
        <w:spacing w:line="276" w:lineRule="auto"/>
        <w:jc w:val="both"/>
        <w:rPr>
          <w:rFonts w:ascii="Arial" w:eastAsia="Arial" w:hAnsi="Arial" w:cs="Arial"/>
          <w:sz w:val="22"/>
          <w:szCs w:val="22"/>
        </w:rPr>
      </w:pPr>
    </w:p>
    <w:p w14:paraId="00000010"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En relación a</w:t>
      </w:r>
      <w:r>
        <w:rPr>
          <w:rFonts w:ascii="Arial" w:eastAsia="Arial" w:hAnsi="Arial" w:cs="Arial"/>
          <w:sz w:val="22"/>
          <w:szCs w:val="22"/>
        </w:rPr>
        <w:t xml:space="preserve"> este criterio y con el ánimo de dar mayores herramientas a la resolución positiva a favor de mis derechos, me permito indicar que:</w:t>
      </w:r>
    </w:p>
    <w:p w14:paraId="00000011" w14:textId="77777777" w:rsidR="00877EC0" w:rsidRDefault="00877EC0">
      <w:pPr>
        <w:widowControl w:val="0"/>
        <w:spacing w:line="276" w:lineRule="auto"/>
        <w:ind w:left="720"/>
        <w:jc w:val="both"/>
        <w:rPr>
          <w:rFonts w:ascii="Arial" w:eastAsia="Arial" w:hAnsi="Arial" w:cs="Arial"/>
          <w:sz w:val="22"/>
          <w:szCs w:val="22"/>
        </w:rPr>
      </w:pPr>
    </w:p>
    <w:p w14:paraId="00000012"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de la salud capacitado, que cu</w:t>
      </w:r>
      <w:r>
        <w:rPr>
          <w:rFonts w:ascii="Arial" w:eastAsia="Arial" w:hAnsi="Arial" w:cs="Arial"/>
          <w:i/>
        </w:rPr>
        <w:t xml:space="preserve">ente con el consentimiento de la mujer o de su cónyuge, pareja, familiares íntimos o su representante legal, cuando ella no se encuentre en posibilidad de prestarlo, no será punible en los siguientes casos: 1. Si se ha practicado para evitar un peligro </w:t>
      </w:r>
      <w:r>
        <w:rPr>
          <w:rFonts w:ascii="Arial" w:eastAsia="Arial" w:hAnsi="Arial" w:cs="Arial"/>
          <w:i/>
        </w:rPr>
        <w:t>para la vida o salud de la mujer embarazada y si este peligro no puede ser evitado por otros medios. (...)</w:t>
      </w:r>
      <w:r>
        <w:rPr>
          <w:rFonts w:ascii="Arial" w:eastAsia="Arial" w:hAnsi="Arial" w:cs="Arial"/>
          <w:i/>
          <w:sz w:val="22"/>
          <w:szCs w:val="22"/>
        </w:rPr>
        <w:t xml:space="preserve">. </w:t>
      </w:r>
    </w:p>
    <w:p w14:paraId="00000013" w14:textId="77777777" w:rsidR="00877EC0" w:rsidRDefault="00877EC0">
      <w:pPr>
        <w:widowControl w:val="0"/>
        <w:spacing w:line="276" w:lineRule="auto"/>
        <w:jc w:val="both"/>
        <w:rPr>
          <w:rFonts w:ascii="Arial" w:eastAsia="Arial" w:hAnsi="Arial" w:cs="Arial"/>
          <w:sz w:val="22"/>
          <w:szCs w:val="22"/>
        </w:rPr>
      </w:pPr>
    </w:p>
    <w:p w14:paraId="00000014"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 xml:space="preserve">o </w:t>
      </w:r>
      <w:r>
        <w:rPr>
          <w:rFonts w:ascii="Arial" w:eastAsia="Arial" w:hAnsi="Arial" w:cs="Arial"/>
          <w:sz w:val="22"/>
          <w:szCs w:val="22"/>
        </w:rPr>
        <w:t>vida, y que éste no pueda ser evitado por otros medios. Este peligro debe atentar contra la salud comprendida de forma integral, es decir como el completo estado de bienestar físico, psicológico, emocional, y social. Es decir, esta causal es aplicable para</w:t>
      </w:r>
      <w:r>
        <w:rPr>
          <w:rFonts w:ascii="Arial" w:eastAsia="Arial" w:hAnsi="Arial" w:cs="Arial"/>
          <w:sz w:val="22"/>
          <w:szCs w:val="22"/>
        </w:rPr>
        <w:t xml:space="preserve"> prevenir cualquier riesgo o daño a la salud integral, sin importar su gravedad o inminencia.Esto pues  el artículo del COIP no establece ningún calificativo sobre el nivel del peligro y gravedad del peligro existente quedando impedido cualquier servidor/a</w:t>
      </w:r>
      <w:r>
        <w:rPr>
          <w:rFonts w:ascii="Arial" w:eastAsia="Arial" w:hAnsi="Arial" w:cs="Arial"/>
          <w:sz w:val="22"/>
          <w:szCs w:val="22"/>
        </w:rPr>
        <w:t xml:space="preserve">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Al contrario, de acuerdo al Art. 11 numerales  5 de la Constitución es deber de las/los servidores públicos aplicar la norma e interpretación que más favorezca el ejercicio de los derechos, y e</w:t>
      </w:r>
      <w:r>
        <w:rPr>
          <w:rFonts w:ascii="Arial" w:eastAsia="Arial" w:hAnsi="Arial" w:cs="Arial"/>
          <w:sz w:val="22"/>
          <w:szCs w:val="22"/>
        </w:rPr>
        <w:t xml:space="preserve">n esta caso mi acceso a un aborto legal por causal salud o vida. </w:t>
      </w:r>
    </w:p>
    <w:p w14:paraId="00000015" w14:textId="77777777" w:rsidR="00877EC0" w:rsidRDefault="00877EC0">
      <w:pPr>
        <w:widowControl w:val="0"/>
        <w:spacing w:line="276" w:lineRule="auto"/>
        <w:jc w:val="both"/>
        <w:rPr>
          <w:rFonts w:ascii="Arial" w:eastAsia="Arial" w:hAnsi="Arial" w:cs="Arial"/>
          <w:sz w:val="22"/>
          <w:szCs w:val="22"/>
        </w:rPr>
      </w:pPr>
    </w:p>
    <w:p w14:paraId="00000016"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La Guía de Práctica Clínica de Aborto Terapéutico, aprobada en Registro Oficial en el año 2014, instrumento legal que ustedes conocen; plantea que para la implementación de la causal salud </w:t>
      </w:r>
      <w:r>
        <w:rPr>
          <w:rFonts w:ascii="Arial" w:eastAsia="Arial" w:hAnsi="Arial" w:cs="Arial"/>
          <w:sz w:val="22"/>
          <w:szCs w:val="22"/>
        </w:rPr>
        <w:t xml:space="preserve">o vida </w:t>
      </w:r>
      <w:r>
        <w:rPr>
          <w:rFonts w:ascii="Arial" w:eastAsia="Arial" w:hAnsi="Arial" w:cs="Arial"/>
          <w:i/>
          <w:sz w:val="22"/>
          <w:szCs w:val="22"/>
        </w:rPr>
        <w:t>“se debe garantizar la prevención de cualquier peligro que ponga en riesgo la vida o salud integral de la mujer (…) que incluye el cuidado de la misma en todos los aspectos”</w:t>
      </w:r>
      <w:r>
        <w:rPr>
          <w:rFonts w:ascii="Arial" w:eastAsia="Arial" w:hAnsi="Arial" w:cs="Arial"/>
          <w:sz w:val="22"/>
          <w:szCs w:val="22"/>
        </w:rPr>
        <w:t xml:space="preserve">.  </w:t>
      </w:r>
    </w:p>
    <w:p w14:paraId="00000017" w14:textId="77777777" w:rsidR="00877EC0" w:rsidRDefault="00877EC0">
      <w:pPr>
        <w:widowControl w:val="0"/>
        <w:spacing w:line="276" w:lineRule="auto"/>
        <w:ind w:left="720"/>
        <w:jc w:val="both"/>
        <w:rPr>
          <w:rFonts w:ascii="Arial" w:eastAsia="Arial" w:hAnsi="Arial" w:cs="Arial"/>
          <w:sz w:val="22"/>
          <w:szCs w:val="22"/>
        </w:rPr>
      </w:pPr>
    </w:p>
    <w:p w14:paraId="00000018" w14:textId="77777777" w:rsidR="00877EC0" w:rsidRDefault="00877EC0">
      <w:pPr>
        <w:widowControl w:val="0"/>
        <w:spacing w:line="276" w:lineRule="auto"/>
        <w:ind w:left="720"/>
        <w:jc w:val="both"/>
        <w:rPr>
          <w:rFonts w:ascii="Arial" w:eastAsia="Arial" w:hAnsi="Arial" w:cs="Arial"/>
          <w:sz w:val="22"/>
          <w:szCs w:val="22"/>
        </w:rPr>
      </w:pPr>
    </w:p>
    <w:p w14:paraId="00000019"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w:t>
      </w:r>
      <w:r>
        <w:rPr>
          <w:rFonts w:ascii="Arial" w:eastAsia="Arial" w:hAnsi="Arial" w:cs="Arial"/>
          <w:sz w:val="22"/>
          <w:szCs w:val="22"/>
          <w:highlight w:val="yellow"/>
        </w:rPr>
        <w:t>: JUANA SE HA AISLADO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w:t>
      </w:r>
      <w:r>
        <w:rPr>
          <w:rFonts w:ascii="Arial" w:eastAsia="Arial" w:hAnsi="Arial" w:cs="Arial"/>
          <w:sz w:val="22"/>
          <w:szCs w:val="22"/>
        </w:rPr>
        <w:t xml:space="preserve">y vida. </w:t>
      </w:r>
    </w:p>
    <w:p w14:paraId="0000001A" w14:textId="77777777" w:rsidR="00877EC0" w:rsidRDefault="00877EC0">
      <w:pPr>
        <w:widowControl w:val="0"/>
        <w:spacing w:line="276" w:lineRule="auto"/>
        <w:ind w:left="720"/>
        <w:jc w:val="both"/>
        <w:rPr>
          <w:rFonts w:ascii="Arial" w:eastAsia="Arial" w:hAnsi="Arial" w:cs="Arial"/>
          <w:sz w:val="22"/>
          <w:szCs w:val="22"/>
        </w:rPr>
      </w:pPr>
    </w:p>
    <w:p w14:paraId="0000001B"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A  esto se suma el hecho de que la Corte Constitucional ha establecido que un embarazo producto de violación como el que experimento  siempre constituye un riesgo para la integridad y salud de la mujer que lo experimenta, riesgo que como he podid</w:t>
      </w:r>
      <w:r>
        <w:rPr>
          <w:rFonts w:ascii="Arial" w:eastAsia="Arial" w:hAnsi="Arial" w:cs="Arial"/>
          <w:sz w:val="22"/>
          <w:szCs w:val="22"/>
        </w:rPr>
        <w:t xml:space="preserve">o argumentar en esta solicitud en mi caso se ve potenciado por mi edad. Al respecto la Corte dijo: </w:t>
      </w:r>
    </w:p>
    <w:p w14:paraId="0000001C" w14:textId="77777777" w:rsidR="00877EC0" w:rsidRDefault="00877EC0">
      <w:pPr>
        <w:widowControl w:val="0"/>
        <w:spacing w:line="276" w:lineRule="auto"/>
        <w:jc w:val="both"/>
        <w:rPr>
          <w:rFonts w:ascii="Arial" w:eastAsia="Arial" w:hAnsi="Arial" w:cs="Arial"/>
          <w:sz w:val="22"/>
          <w:szCs w:val="22"/>
        </w:rPr>
      </w:pPr>
    </w:p>
    <w:p w14:paraId="0000001D" w14:textId="77777777" w:rsidR="00877EC0" w:rsidRDefault="00431A4B">
      <w:pPr>
        <w:widowControl w:val="0"/>
        <w:spacing w:line="276" w:lineRule="auto"/>
        <w:ind w:left="720"/>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la violación de niñas, mujeres y adolescentes es un acto atentatorio contra su integridad en todas sus dimensiones, puesto que produce graves secue</w:t>
      </w:r>
      <w:r>
        <w:rPr>
          <w:b/>
          <w:i/>
          <w:sz w:val="22"/>
          <w:szCs w:val="22"/>
          <w:u w:val="single"/>
        </w:rPr>
        <w:t>las físicas, psicológicas, sexuales, morales y sufrimiento en las víctimas, menoscabando su intimidad, autodeterminación sexual, su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w:t>
      </w:r>
      <w:r>
        <w:rPr>
          <w:b/>
          <w:i/>
          <w:sz w:val="22"/>
          <w:szCs w:val="22"/>
          <w:u w:val="single"/>
        </w:rPr>
        <w:t>stituir, incluso, una forma de tortura de la víctima.</w:t>
      </w:r>
      <w:r>
        <w:rPr>
          <w:i/>
          <w:sz w:val="22"/>
          <w:szCs w:val="22"/>
          <w:u w:val="single"/>
        </w:rPr>
        <w:t xml:space="preserve"> </w:t>
      </w:r>
      <w:r>
        <w:rPr>
          <w:i/>
          <w:sz w:val="22"/>
          <w:szCs w:val="22"/>
        </w:rPr>
        <w:t xml:space="preserve">Esto es así ya que los elementos objetivos y subjetivos que califican un hecho como tortura no se refieren ni a la acumulación de hechos ni al lugar donde el acto se realiza, </w:t>
      </w:r>
      <w:r>
        <w:rPr>
          <w:b/>
          <w:i/>
          <w:sz w:val="22"/>
          <w:szCs w:val="22"/>
          <w:u w:val="single"/>
        </w:rPr>
        <w:t xml:space="preserve">sino a la intencionalidad, </w:t>
      </w:r>
      <w:r>
        <w:rPr>
          <w:b/>
          <w:i/>
          <w:sz w:val="22"/>
          <w:szCs w:val="22"/>
          <w:u w:val="single"/>
        </w:rPr>
        <w:t>a la severidad del sufrimiento y a la finalidad del acto</w:t>
      </w:r>
      <w:r>
        <w:rPr>
          <w:i/>
          <w:sz w:val="22"/>
          <w:szCs w:val="22"/>
          <w:u w:val="single"/>
          <w:vertAlign w:val="superscript"/>
        </w:rPr>
        <w:footnoteReference w:id="2"/>
      </w:r>
      <w:r>
        <w:rPr>
          <w:i/>
          <w:sz w:val="22"/>
          <w:szCs w:val="22"/>
        </w:rPr>
        <w:t xml:space="preserve">  </w:t>
      </w:r>
      <w:r>
        <w:rPr>
          <w:sz w:val="22"/>
          <w:szCs w:val="22"/>
        </w:rPr>
        <w:t xml:space="preserve">(énfasis añadido)   </w:t>
      </w:r>
    </w:p>
    <w:p w14:paraId="0000001E" w14:textId="77777777" w:rsidR="00877EC0" w:rsidRDefault="00431A4B">
      <w:pPr>
        <w:widowControl w:val="0"/>
        <w:spacing w:before="240"/>
        <w:ind w:left="720"/>
        <w:jc w:val="both"/>
        <w:rPr>
          <w:i/>
          <w:sz w:val="22"/>
          <w:szCs w:val="22"/>
        </w:rPr>
      </w:pPr>
      <w:bookmarkStart w:id="0" w:name="_heading=h.o0bct7g578s1" w:colFirst="0" w:colLast="0"/>
      <w:bookmarkEnd w:id="0"/>
      <w:r>
        <w:rPr>
          <w:i/>
          <w:sz w:val="22"/>
          <w:szCs w:val="22"/>
        </w:rPr>
        <w:t xml:space="preserve">A estas graves secuelas se suma que, en ocasiones, </w:t>
      </w:r>
      <w:r>
        <w:rPr>
          <w:b/>
          <w:i/>
          <w:sz w:val="22"/>
          <w:szCs w:val="22"/>
        </w:rPr>
        <w:t>c</w:t>
      </w:r>
      <w:r>
        <w:rPr>
          <w:b/>
          <w:i/>
          <w:sz w:val="22"/>
          <w:szCs w:val="22"/>
          <w:u w:val="single"/>
        </w:rPr>
        <w:t>omo resultado de la violación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3"/>
      </w:r>
      <w:r>
        <w:rPr>
          <w:i/>
          <w:sz w:val="22"/>
          <w:szCs w:val="22"/>
        </w:rPr>
        <w:t xml:space="preserve"> </w:t>
      </w:r>
      <w:r>
        <w:rPr>
          <w:sz w:val="22"/>
          <w:szCs w:val="22"/>
        </w:rPr>
        <w:t>(énfasis añadido)</w:t>
      </w:r>
    </w:p>
    <w:p w14:paraId="0000001F" w14:textId="77777777" w:rsidR="00877EC0" w:rsidRDefault="00431A4B">
      <w:pPr>
        <w:widowControl w:val="0"/>
        <w:spacing w:before="240"/>
        <w:ind w:left="720" w:hanging="2"/>
        <w:jc w:val="both"/>
        <w:rPr>
          <w:sz w:val="22"/>
          <w:szCs w:val="22"/>
        </w:rPr>
      </w:pPr>
      <w:bookmarkStart w:id="1" w:name="_heading=h.44otkxxwojnw" w:colFirst="0" w:colLast="0"/>
      <w:bookmarkEnd w:id="1"/>
      <w:r>
        <w:rPr>
          <w:i/>
          <w:sz w:val="22"/>
          <w:szCs w:val="22"/>
        </w:rPr>
        <w:t xml:space="preserve">En primer lugar, </w:t>
      </w:r>
      <w:r>
        <w:rPr>
          <w:b/>
          <w:i/>
          <w:sz w:val="22"/>
          <w:szCs w:val="22"/>
          <w:u w:val="single"/>
        </w:rPr>
        <w:t>compromete su cuerpo n</w:t>
      </w:r>
      <w:r>
        <w:rPr>
          <w:b/>
          <w:i/>
          <w:sz w:val="22"/>
          <w:szCs w:val="22"/>
          <w:u w:val="single"/>
        </w:rPr>
        <w:t>uevamente y las revictimiza,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les somete a posibles riesgos médicos vinculados a complicaciones derivadas</w:t>
      </w:r>
      <w:r>
        <w:rPr>
          <w:b/>
          <w:i/>
          <w:sz w:val="22"/>
          <w:szCs w:val="22"/>
          <w:u w:val="single"/>
        </w:rPr>
        <w:t xml:space="preserve"> del embarazo y la labor 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trastornos emocionales y psicológicos asociados a la depresió</w:t>
      </w:r>
      <w:r>
        <w:rPr>
          <w:b/>
          <w:i/>
          <w:sz w:val="22"/>
          <w:szCs w:val="22"/>
          <w:u w:val="single"/>
        </w:rPr>
        <w:t>n, humillación, vergüenza e impotencia durante las etapas de la gestación</w:t>
      </w:r>
      <w:r>
        <w:rPr>
          <w:i/>
          <w:sz w:val="22"/>
          <w:szCs w:val="22"/>
        </w:rPr>
        <w:t xml:space="preserve">. Finalmente, </w:t>
      </w:r>
      <w:r>
        <w:rPr>
          <w:b/>
          <w:i/>
          <w:sz w:val="22"/>
          <w:szCs w:val="22"/>
        </w:rPr>
        <w:t>t</w:t>
      </w:r>
      <w:r>
        <w:rPr>
          <w:b/>
          <w:i/>
          <w:sz w:val="22"/>
          <w:szCs w:val="22"/>
          <w:u w:val="single"/>
        </w:rPr>
        <w:t>iene consecuencias sociales, pues el embarazo ocasionado por violación generalmente provoca estigmatización y falta de apoyo de sus familias y acarrea que muchas niñas,</w:t>
      </w:r>
      <w:r>
        <w:rPr>
          <w:b/>
          <w:i/>
          <w:sz w:val="22"/>
          <w:szCs w:val="22"/>
          <w:u w:val="single"/>
        </w:rPr>
        <w:t xml:space="preserve"> adolescentes y </w:t>
      </w:r>
      <w:r>
        <w:rPr>
          <w:b/>
          <w:i/>
          <w:sz w:val="22"/>
          <w:szCs w:val="22"/>
          <w:u w:val="single"/>
        </w:rPr>
        <w:lastRenderedPageBreak/>
        <w:t>mujeres en etapa de escolaridad abandonen sus estudios y cambien su proyecto de vida</w:t>
      </w:r>
      <w:r>
        <w:rPr>
          <w:i/>
          <w:sz w:val="22"/>
          <w:szCs w:val="22"/>
          <w:u w:val="single"/>
          <w:vertAlign w:val="superscript"/>
        </w:rPr>
        <w:footnoteReference w:id="4"/>
      </w:r>
      <w:r>
        <w:rPr>
          <w:i/>
          <w:sz w:val="22"/>
          <w:szCs w:val="22"/>
        </w:rPr>
        <w:t xml:space="preserve">  </w:t>
      </w:r>
      <w:r>
        <w:rPr>
          <w:sz w:val="22"/>
          <w:szCs w:val="22"/>
        </w:rPr>
        <w:t>(énfasis añadido)</w:t>
      </w:r>
    </w:p>
    <w:p w14:paraId="00000020" w14:textId="77777777" w:rsidR="00877EC0" w:rsidRDefault="00431A4B">
      <w:pPr>
        <w:widowControl w:val="0"/>
        <w:spacing w:before="240"/>
        <w:ind w:left="720" w:hanging="2"/>
        <w:jc w:val="both"/>
        <w:rPr>
          <w:sz w:val="22"/>
          <w:szCs w:val="22"/>
        </w:rPr>
      </w:pPr>
      <w:bookmarkStart w:id="2" w:name="_heading=h.8u5198v2fxeb" w:colFirst="0" w:colLast="0"/>
      <w:bookmarkEnd w:id="2"/>
      <w:r>
        <w:rPr>
          <w:i/>
          <w:sz w:val="22"/>
          <w:szCs w:val="22"/>
        </w:rPr>
        <w:t xml:space="preserve">En consecuencia, </w:t>
      </w:r>
      <w:r>
        <w:rPr>
          <w:i/>
          <w:sz w:val="22"/>
          <w:szCs w:val="22"/>
          <w:u w:val="single"/>
        </w:rPr>
        <w:t>l</w:t>
      </w:r>
      <w:r>
        <w:rPr>
          <w:b/>
          <w:i/>
          <w:sz w:val="22"/>
          <w:szCs w:val="22"/>
          <w:u w:val="single"/>
        </w:rPr>
        <w:t>a maternidad forzada de víctimas de violación atenta, entre otros, contra (i) la integridad física</w:t>
      </w:r>
      <w:r>
        <w:rPr>
          <w:i/>
          <w:sz w:val="22"/>
          <w:szCs w:val="22"/>
        </w:rPr>
        <w:t>, pues menoscaba la</w:t>
      </w:r>
      <w:r>
        <w:rPr>
          <w:i/>
          <w:sz w:val="22"/>
          <w:szCs w:val="22"/>
        </w:rPr>
        <w:t xml:space="preserve"> libre disposición y goce de su cuerpo y puede ocasionar 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control de su cuerpo y su vida;</w:t>
      </w:r>
      <w:r>
        <w:rPr>
          <w:i/>
          <w:sz w:val="22"/>
          <w:szCs w:val="22"/>
          <w:u w:val="single"/>
        </w:rPr>
        <w:t xml:space="preserve"> (</w:t>
      </w:r>
      <w:r>
        <w:rPr>
          <w:b/>
          <w:i/>
          <w:sz w:val="22"/>
          <w:szCs w:val="22"/>
          <w:u w:val="single"/>
        </w:rPr>
        <w:t>ii) la integridad psíqui</w:t>
      </w:r>
      <w:r>
        <w:rPr>
          <w:b/>
          <w:i/>
          <w:sz w:val="22"/>
          <w:szCs w:val="22"/>
          <w:u w:val="single"/>
        </w:rPr>
        <w:t>ca</w:t>
      </w:r>
      <w:r>
        <w:rPr>
          <w:b/>
          <w:i/>
          <w:sz w:val="22"/>
          <w:szCs w:val="22"/>
        </w:rPr>
        <w:t>,</w:t>
      </w:r>
      <w:r>
        <w:rPr>
          <w:i/>
          <w:sz w:val="22"/>
          <w:szCs w:val="22"/>
        </w:rPr>
        <w:t xml:space="preserve"> pues genera severos traumas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familiar hacia ellas</w:t>
      </w:r>
      <w:r>
        <w:rPr>
          <w:b/>
          <w:i/>
          <w:sz w:val="22"/>
          <w:szCs w:val="22"/>
        </w:rPr>
        <w:t>,</w:t>
      </w:r>
      <w:r>
        <w:rPr>
          <w:i/>
          <w:sz w:val="22"/>
          <w:szCs w:val="22"/>
        </w:rPr>
        <w:t xml:space="preserve"> afecta su autoestima y genera senti</w:t>
      </w:r>
      <w:r>
        <w:rPr>
          <w:i/>
          <w:sz w:val="22"/>
          <w:szCs w:val="22"/>
        </w:rPr>
        <w:t xml:space="preserve">mientos de vergüenza y humillación;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5"/>
      </w:r>
      <w:r>
        <w:rPr>
          <w:i/>
          <w:sz w:val="22"/>
          <w:szCs w:val="22"/>
        </w:rPr>
        <w:t xml:space="preserve">  </w:t>
      </w:r>
      <w:r>
        <w:rPr>
          <w:sz w:val="22"/>
          <w:szCs w:val="22"/>
        </w:rPr>
        <w:t>(énfasis añadido)</w:t>
      </w:r>
    </w:p>
    <w:p w14:paraId="00000021" w14:textId="77777777" w:rsidR="00877EC0" w:rsidRDefault="00877EC0">
      <w:pPr>
        <w:widowControl w:val="0"/>
        <w:spacing w:line="276" w:lineRule="auto"/>
        <w:jc w:val="both"/>
        <w:rPr>
          <w:rFonts w:ascii="Arial" w:eastAsia="Arial" w:hAnsi="Arial" w:cs="Arial"/>
          <w:sz w:val="22"/>
          <w:szCs w:val="22"/>
        </w:rPr>
      </w:pPr>
    </w:p>
    <w:p w14:paraId="00000022" w14:textId="77777777" w:rsidR="00877EC0" w:rsidRDefault="00877EC0">
      <w:pPr>
        <w:widowControl w:val="0"/>
        <w:spacing w:line="276" w:lineRule="auto"/>
        <w:jc w:val="both"/>
        <w:rPr>
          <w:rFonts w:ascii="Arial" w:eastAsia="Arial" w:hAnsi="Arial" w:cs="Arial"/>
          <w:sz w:val="22"/>
          <w:szCs w:val="22"/>
        </w:rPr>
      </w:pPr>
    </w:p>
    <w:p w14:paraId="00000023" w14:textId="77777777" w:rsidR="00877EC0" w:rsidRDefault="00431A4B">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4" w14:textId="77777777" w:rsidR="00877EC0" w:rsidRDefault="00877EC0">
      <w:pPr>
        <w:widowControl w:val="0"/>
        <w:spacing w:line="276" w:lineRule="auto"/>
        <w:jc w:val="both"/>
        <w:rPr>
          <w:rFonts w:ascii="Arial" w:eastAsia="Arial" w:hAnsi="Arial" w:cs="Arial"/>
          <w:b/>
          <w:sz w:val="22"/>
          <w:szCs w:val="22"/>
        </w:rPr>
      </w:pPr>
    </w:p>
    <w:p w14:paraId="00000025"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rFonts w:ascii="Arial" w:eastAsia="Arial" w:hAnsi="Arial" w:cs="Arial"/>
          <w:sz w:val="22"/>
          <w:szCs w:val="22"/>
        </w:rPr>
        <w:t>ección de mis derechos y que menos gravamenes me exiga. Así lo establece la ley en la materia en el articulo 58 h) y de forma concordante los Lineamientos para la Atención Integral y Acceso Efectivo a Interrupción Voluntaria del Embarazo por violación, exp</w:t>
      </w:r>
      <w:r>
        <w:rPr>
          <w:rFonts w:ascii="Arial" w:eastAsia="Arial" w:hAnsi="Arial" w:cs="Arial"/>
          <w:sz w:val="22"/>
          <w:szCs w:val="22"/>
        </w:rPr>
        <w:t>edidos este año 2023.</w:t>
      </w:r>
    </w:p>
    <w:p w14:paraId="00000026" w14:textId="77777777" w:rsidR="00877EC0" w:rsidRDefault="00877EC0">
      <w:pPr>
        <w:widowControl w:val="0"/>
        <w:spacing w:line="276" w:lineRule="auto"/>
        <w:jc w:val="both"/>
        <w:rPr>
          <w:rFonts w:ascii="Arial" w:eastAsia="Arial" w:hAnsi="Arial" w:cs="Arial"/>
          <w:sz w:val="22"/>
          <w:szCs w:val="22"/>
        </w:rPr>
      </w:pPr>
    </w:p>
    <w:p w14:paraId="00000027" w14:textId="77777777" w:rsidR="00877EC0" w:rsidRDefault="00431A4B">
      <w:pPr>
        <w:widowControl w:val="0"/>
        <w:spacing w:line="276" w:lineRule="auto"/>
        <w:ind w:left="720"/>
        <w:jc w:val="both"/>
        <w:rPr>
          <w:rFonts w:ascii="Arial" w:eastAsia="Arial" w:hAnsi="Arial" w:cs="Arial"/>
        </w:rPr>
      </w:pPr>
      <w:r>
        <w:rPr>
          <w:rFonts w:ascii="Arial" w:eastAsia="Arial" w:hAnsi="Arial" w:cs="Arial"/>
        </w:rPr>
        <w:t>Todo profesional de la salud tiene la obligación de implementar el principio de coexistencia de causales de acuerdo a lo determinado en el artículo 58 inciso h) de la ley Orgánica que Regula la interrupción Voluntaria del Embarazo en</w:t>
      </w:r>
      <w:r>
        <w:rPr>
          <w:rFonts w:ascii="Arial" w:eastAsia="Arial" w:hAnsi="Arial" w:cs="Arial"/>
        </w:rPr>
        <w:t xml:space="preserve"> Niñas, Adolescentes y Mujeres en Casos de Violación (2), así como a evaluar los posibles riesgos para la salud (física, psicológica y social de la mujer, niña, adolescente o persona gestante para que reciba atención integral con base en las normativas vig</w:t>
      </w:r>
      <w:r>
        <w:rPr>
          <w:rFonts w:ascii="Arial" w:eastAsia="Arial" w:hAnsi="Arial" w:cs="Arial"/>
        </w:rPr>
        <w:t>entes emitidas por el MSP y considerando lo estipulado en el Código Orgánico Integral Penal artículo 150. (3)</w:t>
      </w:r>
    </w:p>
    <w:p w14:paraId="00000028" w14:textId="77777777" w:rsidR="00877EC0" w:rsidRDefault="00877EC0">
      <w:pPr>
        <w:widowControl w:val="0"/>
        <w:spacing w:line="276" w:lineRule="auto"/>
        <w:jc w:val="both"/>
        <w:rPr>
          <w:rFonts w:ascii="Arial" w:eastAsia="Arial" w:hAnsi="Arial" w:cs="Arial"/>
          <w:sz w:val="22"/>
          <w:szCs w:val="22"/>
        </w:rPr>
      </w:pPr>
    </w:p>
    <w:p w14:paraId="00000029" w14:textId="77777777" w:rsidR="00877EC0" w:rsidRDefault="00877EC0">
      <w:pPr>
        <w:widowControl w:val="0"/>
        <w:spacing w:line="276" w:lineRule="auto"/>
        <w:jc w:val="both"/>
        <w:rPr>
          <w:rFonts w:ascii="Arial" w:eastAsia="Arial" w:hAnsi="Arial" w:cs="Arial"/>
          <w:sz w:val="22"/>
          <w:szCs w:val="22"/>
        </w:rPr>
      </w:pPr>
    </w:p>
    <w:p w14:paraId="0000002A"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2B" w14:textId="77777777" w:rsidR="00877EC0" w:rsidRDefault="00877EC0">
      <w:pPr>
        <w:widowControl w:val="0"/>
        <w:spacing w:line="276" w:lineRule="auto"/>
        <w:jc w:val="both"/>
        <w:rPr>
          <w:rFonts w:ascii="Arial" w:eastAsia="Arial" w:hAnsi="Arial" w:cs="Arial"/>
          <w:sz w:val="22"/>
          <w:szCs w:val="22"/>
        </w:rPr>
      </w:pPr>
    </w:p>
    <w:p w14:paraId="0000002C"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 xml:space="preserve">XX </w:t>
      </w:r>
      <w:r>
        <w:rPr>
          <w:rFonts w:ascii="Arial" w:eastAsia="Arial" w:hAnsi="Arial" w:cs="Arial"/>
          <w:sz w:val="22"/>
          <w:szCs w:val="22"/>
        </w:rPr>
        <w:t xml:space="preserve">años de edad y fui victima de violación, siendo que mi embarazo </w:t>
      </w:r>
      <w:r>
        <w:rPr>
          <w:rFonts w:ascii="Arial" w:eastAsia="Arial" w:hAnsi="Arial" w:cs="Arial"/>
          <w:sz w:val="22"/>
          <w:szCs w:val="22"/>
        </w:rPr>
        <w:t xml:space="preserve">es resultado d ela misma. </w:t>
      </w:r>
    </w:p>
    <w:p w14:paraId="0000002D"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De acuerdo a lo establecido por la corte constitucional en la sentencia 34-19IN y acumulados, tengo derecho a acceder a un aborto legal por causal violación para precautelar mis derechos y mi integridad. </w:t>
      </w:r>
    </w:p>
    <w:p w14:paraId="0000002E" w14:textId="77777777" w:rsidR="00877EC0" w:rsidRDefault="00431A4B">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día 28 de noviembre del 2022,  la corte constitu</w:t>
      </w:r>
      <w:r>
        <w:rPr>
          <w:rFonts w:ascii="Arial" w:eastAsia="Arial" w:hAnsi="Arial" w:cs="Arial"/>
          <w:sz w:val="22"/>
          <w:szCs w:val="22"/>
        </w:rPr>
        <w:t>cional en el acto de admisión 76-22-IN, dicto medidas cautelares que suspenden el articulo 19 de la Ley  Orgánica que Regula la Interrupción Voluntaria del Embarazo para Niñas, Adolescentes y Mujeres en caso de Violación. Estableciendo que no se requiere p</w:t>
      </w:r>
      <w:r>
        <w:rPr>
          <w:rFonts w:ascii="Arial" w:eastAsia="Arial" w:hAnsi="Arial" w:cs="Arial"/>
          <w:sz w:val="22"/>
          <w:szCs w:val="22"/>
        </w:rPr>
        <w:t xml:space="preserve">resentar requisitos para acceder al procedimiento, por lo cual solicito a usted se proceda a hacer los trámites para que se </w:t>
      </w:r>
      <w:r>
        <w:rPr>
          <w:rFonts w:ascii="Arial" w:eastAsia="Arial" w:hAnsi="Arial" w:cs="Arial"/>
          <w:sz w:val="22"/>
          <w:szCs w:val="22"/>
        </w:rPr>
        <w:lastRenderedPageBreak/>
        <w:t>realice el procedimiento en cuestión. Mismo que deberá realizarse por la causal salud por el tiempo de embarazo que en la actualidad</w:t>
      </w:r>
      <w:r>
        <w:rPr>
          <w:rFonts w:ascii="Arial" w:eastAsia="Arial" w:hAnsi="Arial" w:cs="Arial"/>
          <w:sz w:val="22"/>
          <w:szCs w:val="22"/>
        </w:rPr>
        <w:t xml:space="preserve"> tengo, esto pues la ley mencionada establece que en casos como el mío debe aplicarse la coexistencia de causales.</w:t>
      </w:r>
    </w:p>
    <w:p w14:paraId="0000002F" w14:textId="77777777" w:rsidR="00877EC0" w:rsidRDefault="00877EC0">
      <w:pPr>
        <w:widowControl w:val="0"/>
        <w:spacing w:line="276" w:lineRule="auto"/>
        <w:ind w:left="720"/>
        <w:jc w:val="both"/>
        <w:rPr>
          <w:rFonts w:ascii="Arial" w:eastAsia="Arial" w:hAnsi="Arial" w:cs="Arial"/>
          <w:sz w:val="22"/>
          <w:szCs w:val="22"/>
        </w:rPr>
      </w:pPr>
    </w:p>
    <w:p w14:paraId="00000030" w14:textId="77777777" w:rsidR="00877EC0" w:rsidRDefault="00877EC0">
      <w:pPr>
        <w:widowControl w:val="0"/>
        <w:spacing w:line="276" w:lineRule="auto"/>
        <w:jc w:val="both"/>
        <w:rPr>
          <w:rFonts w:ascii="Arial" w:eastAsia="Arial" w:hAnsi="Arial" w:cs="Arial"/>
          <w:b/>
          <w:sz w:val="22"/>
          <w:szCs w:val="22"/>
        </w:rPr>
      </w:pPr>
    </w:p>
    <w:p w14:paraId="00000031" w14:textId="77777777" w:rsidR="00877EC0" w:rsidRDefault="00431A4B">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casos análogos </w:t>
      </w:r>
    </w:p>
    <w:p w14:paraId="00000032" w14:textId="77777777" w:rsidR="00877EC0" w:rsidRDefault="00877EC0">
      <w:pPr>
        <w:widowControl w:val="0"/>
        <w:spacing w:line="276" w:lineRule="auto"/>
        <w:jc w:val="both"/>
        <w:rPr>
          <w:rFonts w:ascii="Arial" w:eastAsia="Arial" w:hAnsi="Arial" w:cs="Arial"/>
          <w:b/>
          <w:sz w:val="22"/>
          <w:szCs w:val="22"/>
        </w:rPr>
      </w:pPr>
    </w:p>
    <w:p w14:paraId="00000033"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Varios fallos del Comité de Derechos Humanos, y el Comité de la CEDAW, los cuales se ha</w:t>
      </w:r>
      <w:r>
        <w:rPr>
          <w:rFonts w:ascii="Arial" w:eastAsia="Arial" w:hAnsi="Arial" w:cs="Arial"/>
          <w:sz w:val="22"/>
          <w:szCs w:val="22"/>
        </w:rPr>
        <w:t>n pronunciado sobre la importancia de interpretar, de forma acorde con los derechos humanos de las mujeres, las causales legales existentes de aborto no punible. En el caso de la causal salud, es emblemático el caso de LC vs Perú, comunicación No. 22/2009,</w:t>
      </w:r>
      <w:r>
        <w:rPr>
          <w:rFonts w:ascii="Arial" w:eastAsia="Arial" w:hAnsi="Arial" w:cs="Arial"/>
          <w:sz w:val="22"/>
          <w:szCs w:val="22"/>
        </w:rPr>
        <w:t xml:space="preserve">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embarazo ponía en peligro su salud física y mental, caso similar mio </w:t>
      </w:r>
      <w:r>
        <w:rPr>
          <w:rFonts w:ascii="Arial" w:eastAsia="Arial" w:hAnsi="Arial" w:cs="Arial"/>
          <w:sz w:val="22"/>
          <w:szCs w:val="22"/>
          <w:highlight w:val="yellow"/>
        </w:rPr>
        <w:t xml:space="preserve">NOMBRE DE LA MUJER </w:t>
      </w:r>
      <w:r>
        <w:rPr>
          <w:rFonts w:ascii="Arial" w:eastAsia="Arial" w:hAnsi="Arial" w:cs="Arial"/>
          <w:sz w:val="22"/>
          <w:szCs w:val="22"/>
        </w:rPr>
        <w:t>y cuyo dictamen debe tomarse en cu</w:t>
      </w:r>
      <w:r>
        <w:rPr>
          <w:rFonts w:ascii="Arial" w:eastAsia="Arial" w:hAnsi="Arial" w:cs="Arial"/>
          <w:sz w:val="22"/>
          <w:szCs w:val="22"/>
        </w:rPr>
        <w:t>enta para resolver el mismo.</w:t>
      </w:r>
    </w:p>
    <w:p w14:paraId="00000034" w14:textId="77777777" w:rsidR="00877EC0" w:rsidRDefault="00431A4B">
      <w:pPr>
        <w:widowControl w:val="0"/>
        <w:spacing w:before="240" w:after="240" w:line="276" w:lineRule="auto"/>
        <w:ind w:left="1440"/>
        <w:jc w:val="both"/>
        <w:rPr>
          <w:rFonts w:ascii="Arial" w:eastAsia="Arial" w:hAnsi="Arial" w:cs="Arial"/>
        </w:rPr>
      </w:pPr>
      <w:r>
        <w:rPr>
          <w:rFonts w:ascii="Arial" w:eastAsia="Arial" w:hAnsi="Arial" w:cs="Arial"/>
        </w:rPr>
        <w:t>L.C (...) no tuvo acceso a un procedimiento eficaz y accesible que le permitiese establecer su derecho a los servicios de atención médica que su estado de salud física y mental requería. Estos servicios comprendían tanto la ope</w:t>
      </w:r>
      <w:r>
        <w:rPr>
          <w:rFonts w:ascii="Arial" w:eastAsia="Arial" w:hAnsi="Arial" w:cs="Arial"/>
        </w:rPr>
        <w:t>ración de columna como el aborto terapéutico. Ello resulta tanto más grave si se tiene en cuenta que se trataba de una</w:t>
      </w:r>
      <w:r>
        <w:rPr>
          <w:rFonts w:ascii="Arial" w:eastAsia="Arial" w:hAnsi="Arial" w:cs="Arial"/>
          <w:b/>
        </w:rPr>
        <w:t xml:space="preserve"> </w:t>
      </w:r>
      <w:r>
        <w:rPr>
          <w:rFonts w:ascii="Arial" w:eastAsia="Arial" w:hAnsi="Arial" w:cs="Arial"/>
        </w:rPr>
        <w:t>menor, víctima de abusos sexuales. El intento de suicidio demuestra el grado de sufrimiento mental por el que pasó como consecuencia de l</w:t>
      </w:r>
      <w:r>
        <w:rPr>
          <w:rFonts w:ascii="Arial" w:eastAsia="Arial" w:hAnsi="Arial" w:cs="Arial"/>
        </w:rPr>
        <w:t>os abusos</w:t>
      </w:r>
      <w:r>
        <w:rPr>
          <w:rFonts w:ascii="Arial" w:eastAsia="Arial" w:hAnsi="Arial" w:cs="Arial"/>
          <w:b/>
        </w:rPr>
        <w:t>.</w:t>
      </w:r>
      <w:r>
        <w:rPr>
          <w:rFonts w:ascii="Arial" w:eastAsia="Arial" w:hAnsi="Arial" w:cs="Arial"/>
        </w:rPr>
        <w:t xml:space="preserve"> Por lo tanto, el Comité considera que los hechos descritos configuran una violación de los derechos que asisten a L. C. en virtud del artículo 12 de la Convención. Considera también que los hechos ponen de manifiesto una violación del artículo 5</w:t>
      </w:r>
      <w:r>
        <w:rPr>
          <w:rFonts w:ascii="Arial" w:eastAsia="Arial" w:hAnsi="Arial" w:cs="Arial"/>
        </w:rPr>
        <w:t xml:space="preserve"> de la Convención, ya que la decisión de aplazar la intervención quirúrgica debido al embarazo estuvo influenciada por el estereotipo de que la protección del feto debe prevalecer sobre la salud de la madre. </w:t>
      </w:r>
    </w:p>
    <w:p w14:paraId="00000035" w14:textId="77777777" w:rsidR="00877EC0" w:rsidRDefault="00877EC0">
      <w:pPr>
        <w:widowControl w:val="0"/>
        <w:spacing w:before="240" w:after="240" w:line="276" w:lineRule="auto"/>
        <w:ind w:left="1440"/>
        <w:jc w:val="both"/>
        <w:rPr>
          <w:rFonts w:ascii="Arial" w:eastAsia="Arial" w:hAnsi="Arial" w:cs="Arial"/>
        </w:rPr>
      </w:pPr>
    </w:p>
    <w:p w14:paraId="00000036" w14:textId="77777777" w:rsidR="00877EC0" w:rsidRDefault="00431A4B">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w:t>
      </w:r>
      <w:r>
        <w:rPr>
          <w:rFonts w:ascii="Arial" w:eastAsia="Arial" w:hAnsi="Arial" w:cs="Arial"/>
          <w:b/>
          <w:sz w:val="22"/>
          <w:szCs w:val="22"/>
        </w:rPr>
        <w:t>ecisión del caso</w:t>
      </w:r>
    </w:p>
    <w:p w14:paraId="00000037" w14:textId="77777777" w:rsidR="00877EC0" w:rsidRDefault="00877EC0">
      <w:pPr>
        <w:widowControl w:val="0"/>
        <w:spacing w:line="276" w:lineRule="auto"/>
        <w:jc w:val="both"/>
        <w:rPr>
          <w:rFonts w:ascii="Arial" w:eastAsia="Arial" w:hAnsi="Arial" w:cs="Arial"/>
          <w:b/>
          <w:sz w:val="22"/>
          <w:szCs w:val="22"/>
        </w:rPr>
      </w:pPr>
    </w:p>
    <w:p w14:paraId="00000038" w14:textId="77777777" w:rsidR="00877EC0" w:rsidRDefault="00877EC0">
      <w:pPr>
        <w:widowControl w:val="0"/>
        <w:spacing w:line="276" w:lineRule="auto"/>
        <w:jc w:val="both"/>
        <w:rPr>
          <w:rFonts w:ascii="Arial" w:eastAsia="Arial" w:hAnsi="Arial" w:cs="Arial"/>
          <w:b/>
          <w:sz w:val="22"/>
          <w:szCs w:val="22"/>
        </w:rPr>
      </w:pPr>
    </w:p>
    <w:p w14:paraId="00000039"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De acuerdo a la Guía de Práctica Clínica de Aborto Terapéutico, basta que  un profesional de salud constante el riesgo para que se pueda acceder al  procedimiento. Sin perjuicio, de que esta decisión sea valorada por más de un profesiona</w:t>
      </w:r>
      <w:r>
        <w:rPr>
          <w:rFonts w:ascii="Arial" w:eastAsia="Arial" w:hAnsi="Arial" w:cs="Arial"/>
          <w:sz w:val="22"/>
          <w:szCs w:val="22"/>
        </w:rPr>
        <w:t xml:space="preserve">l, es menester solicitar se tenga en cuenta la opinión de la paciente de manera fundamental y que el proceso dure máximo 6 días. </w:t>
      </w:r>
    </w:p>
    <w:p w14:paraId="0000003A" w14:textId="77777777" w:rsidR="00877EC0" w:rsidRDefault="00877EC0">
      <w:pPr>
        <w:widowControl w:val="0"/>
        <w:spacing w:line="276" w:lineRule="auto"/>
        <w:jc w:val="both"/>
        <w:rPr>
          <w:rFonts w:ascii="Arial" w:eastAsia="Arial" w:hAnsi="Arial" w:cs="Arial"/>
          <w:sz w:val="22"/>
          <w:szCs w:val="22"/>
        </w:rPr>
      </w:pPr>
    </w:p>
    <w:p w14:paraId="0000003B"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El art. 45 de la Constitución establece que las niñas y adolescentes, tienen derecho a que se garantice su interés superior  </w:t>
      </w:r>
      <w:r>
        <w:rPr>
          <w:rFonts w:ascii="Arial" w:eastAsia="Arial" w:hAnsi="Arial" w:cs="Arial"/>
          <w:sz w:val="22"/>
          <w:szCs w:val="22"/>
        </w:rPr>
        <w:t xml:space="preserve">y para ello es un requisito </w:t>
      </w:r>
      <w:r>
        <w:rPr>
          <w:rFonts w:ascii="Arial" w:eastAsia="Arial" w:hAnsi="Arial" w:cs="Arial"/>
          <w:i/>
          <w:sz w:val="22"/>
          <w:szCs w:val="22"/>
        </w:rPr>
        <w:t xml:space="preserve">sine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Comité de los Derechos del Niño que en materia de salud establece que las y los niños y adolescentes, no sólo deben ser informados sobre las cuestiones relativas a su salud, sino que so</w:t>
      </w:r>
      <w:r>
        <w:rPr>
          <w:rFonts w:ascii="Arial" w:eastAsia="Arial" w:hAnsi="Arial" w:cs="Arial"/>
          <w:sz w:val="22"/>
          <w:szCs w:val="22"/>
        </w:rPr>
        <w:t xml:space="preserve">n actores y pueden tomar decisiones de acuerdo a su autonomía progresiva en cuanto a su </w:t>
      </w:r>
      <w:r>
        <w:rPr>
          <w:rFonts w:ascii="Arial" w:eastAsia="Arial" w:hAnsi="Arial" w:cs="Arial"/>
          <w:sz w:val="22"/>
          <w:szCs w:val="22"/>
        </w:rPr>
        <w:lastRenderedPageBreak/>
        <w:t>salud y los tratamientos disponibles para ellos</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0000003C" w14:textId="77777777" w:rsidR="00877EC0" w:rsidRDefault="00877EC0">
      <w:pPr>
        <w:widowControl w:val="0"/>
        <w:spacing w:line="276" w:lineRule="auto"/>
        <w:jc w:val="both"/>
        <w:rPr>
          <w:rFonts w:ascii="Arial" w:eastAsia="Arial" w:hAnsi="Arial" w:cs="Arial"/>
          <w:sz w:val="22"/>
          <w:szCs w:val="22"/>
        </w:rPr>
      </w:pPr>
    </w:p>
    <w:p w14:paraId="0000003D"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 o varios profesionales de salud realicen juntas médicas para valorar el caso, es fu</w:t>
      </w:r>
      <w:r>
        <w:rPr>
          <w:rFonts w:ascii="Arial" w:eastAsia="Arial" w:hAnsi="Arial" w:cs="Arial"/>
          <w:sz w:val="22"/>
          <w:szCs w:val="22"/>
        </w:rPr>
        <w:t>ndamental que se tome en cuenta la opinión de la paciente por sí misma o a través de sus representantes.</w:t>
      </w:r>
    </w:p>
    <w:p w14:paraId="0000003E" w14:textId="77777777" w:rsidR="00877EC0" w:rsidRDefault="00877EC0">
      <w:pPr>
        <w:widowControl w:val="0"/>
        <w:spacing w:line="276" w:lineRule="auto"/>
        <w:jc w:val="both"/>
        <w:rPr>
          <w:rFonts w:ascii="Arial" w:eastAsia="Arial" w:hAnsi="Arial" w:cs="Arial"/>
          <w:sz w:val="22"/>
          <w:szCs w:val="22"/>
        </w:rPr>
      </w:pPr>
    </w:p>
    <w:p w14:paraId="0000003F"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MUJER</w:t>
      </w:r>
      <w:r>
        <w:rPr>
          <w:rFonts w:ascii="Arial" w:eastAsia="Arial" w:hAnsi="Arial" w:cs="Arial"/>
          <w:sz w:val="22"/>
          <w:szCs w:val="22"/>
        </w:rPr>
        <w:t xml:space="preserve">, sea manejado principalmente como un caso de </w:t>
      </w:r>
      <w:r>
        <w:rPr>
          <w:rFonts w:ascii="Arial" w:eastAsia="Arial" w:hAnsi="Arial" w:cs="Arial"/>
          <w:b/>
          <w:sz w:val="22"/>
          <w:szCs w:val="22"/>
        </w:rPr>
        <w:t>causal salud</w:t>
      </w:r>
      <w:r>
        <w:rPr>
          <w:rFonts w:ascii="Arial" w:eastAsia="Arial" w:hAnsi="Arial" w:cs="Arial"/>
          <w:sz w:val="22"/>
          <w:szCs w:val="22"/>
        </w:rPr>
        <w:t xml:space="preserve"> y se analice también l</w:t>
      </w:r>
      <w:r>
        <w:rPr>
          <w:rFonts w:ascii="Arial" w:eastAsia="Arial" w:hAnsi="Arial" w:cs="Arial"/>
          <w:sz w:val="22"/>
          <w:szCs w:val="22"/>
        </w:rPr>
        <w:t>a existencia de una causal violación.</w:t>
      </w:r>
    </w:p>
    <w:p w14:paraId="00000040" w14:textId="77777777" w:rsidR="00877EC0" w:rsidRDefault="00877EC0">
      <w:pPr>
        <w:widowControl w:val="0"/>
        <w:spacing w:line="276" w:lineRule="auto"/>
        <w:jc w:val="both"/>
        <w:rPr>
          <w:rFonts w:ascii="Arial" w:eastAsia="Arial" w:hAnsi="Arial" w:cs="Arial"/>
          <w:sz w:val="22"/>
          <w:szCs w:val="22"/>
        </w:rPr>
      </w:pPr>
    </w:p>
    <w:p w14:paraId="00000041"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Recordamos a los profesionales a cargo que, de acuerdo a lo establecido en la Ley  Orgánica que Regula la Interrupción Voluntaria del Embarazo para Niñas, Adolescentes y Mujeres en caso de Violación, es obligación de </w:t>
      </w:r>
      <w:r>
        <w:rPr>
          <w:rFonts w:ascii="Arial" w:eastAsia="Arial" w:hAnsi="Arial" w:cs="Arial"/>
          <w:sz w:val="22"/>
          <w:szCs w:val="22"/>
        </w:rPr>
        <w:t xml:space="preserve">los profesionales aplicar la coexistencia de causales, so pena de que exista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artículo 58 del mencionado cuerpo legal que establece:</w:t>
      </w:r>
    </w:p>
    <w:p w14:paraId="00000042" w14:textId="77777777" w:rsidR="00877EC0" w:rsidRDefault="00877EC0">
      <w:pPr>
        <w:widowControl w:val="0"/>
        <w:spacing w:line="276" w:lineRule="auto"/>
        <w:jc w:val="both"/>
        <w:rPr>
          <w:rFonts w:ascii="Arial" w:eastAsia="Arial" w:hAnsi="Arial" w:cs="Arial"/>
          <w:sz w:val="22"/>
          <w:szCs w:val="22"/>
        </w:rPr>
      </w:pPr>
    </w:p>
    <w:p w14:paraId="00000043" w14:textId="77777777" w:rsidR="00877EC0" w:rsidRDefault="00431A4B">
      <w:pPr>
        <w:spacing w:after="240" w:line="276" w:lineRule="auto"/>
        <w:ind w:left="720"/>
        <w:jc w:val="both"/>
        <w:rPr>
          <w:rFonts w:ascii="Arial" w:eastAsia="Arial" w:hAnsi="Arial" w:cs="Arial"/>
          <w:i/>
        </w:rPr>
      </w:pPr>
      <w:r>
        <w:rPr>
          <w:rFonts w:ascii="Arial" w:eastAsia="Arial" w:hAnsi="Arial" w:cs="Arial"/>
          <w:i/>
        </w:rPr>
        <w:t>Artículo 58.- De las infracciones sancionadas con multa de 10 salarios básicos unificados.- Al personal de salud se le podrá imponer multa de 10 salarios básico unificados del trabajador en general, por las siguientes infracciones: f) Inaplicar el principi</w:t>
      </w:r>
      <w:r>
        <w:rPr>
          <w:rFonts w:ascii="Arial" w:eastAsia="Arial" w:hAnsi="Arial" w:cs="Arial"/>
          <w:i/>
        </w:rPr>
        <w:t xml:space="preserve">o de coexistencia de causales que generen como resultado la negación de la interrupción legal del embarazo por violación a las vicitmas que se encuentren incursas en esta causal o en las otras previstas en la ley. </w:t>
      </w:r>
    </w:p>
    <w:p w14:paraId="00000044" w14:textId="77777777" w:rsidR="00877EC0" w:rsidRDefault="00431A4B">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El Estado tiene el rol de garantizar el a</w:t>
      </w:r>
      <w:r>
        <w:rPr>
          <w:rFonts w:ascii="Arial" w:eastAsia="Arial" w:hAnsi="Arial" w:cs="Arial"/>
          <w:sz w:val="22"/>
          <w:szCs w:val="22"/>
        </w:rPr>
        <w:t>cceso a abortos no punibles en el país acorde al marco legal vigente, que tiene como objetivo precautelar la vida y la salud integral de las niñas, adolescentes, ante posibles riesgos que la continuación del embarazo tenga para las mismas. Al ser mi embara</w:t>
      </w:r>
      <w:r>
        <w:rPr>
          <w:rFonts w:ascii="Arial" w:eastAsia="Arial" w:hAnsi="Arial" w:cs="Arial"/>
          <w:sz w:val="22"/>
          <w:szCs w:val="22"/>
        </w:rPr>
        <w:t xml:space="preserve">zo,  producto de violación y con graves riesgos a mi salud y vida ella tiene derecho a acceder a un aborto por cualquiera de estas dos causales.  </w:t>
      </w:r>
      <w:r>
        <w:rPr>
          <w:rFonts w:ascii="Arial" w:eastAsia="Arial" w:hAnsi="Arial" w:cs="Arial"/>
          <w:b/>
          <w:sz w:val="22"/>
          <w:szCs w:val="22"/>
        </w:rPr>
        <w:t>Es un requisito inadecuado y por tanto ilegal solicitar autorización judicial o de Fiscalía, y es obligación d</w:t>
      </w:r>
      <w:r>
        <w:rPr>
          <w:rFonts w:ascii="Arial" w:eastAsia="Arial" w:hAnsi="Arial" w:cs="Arial"/>
          <w:b/>
          <w:sz w:val="22"/>
          <w:szCs w:val="22"/>
        </w:rPr>
        <w:t xml:space="preserve">el hospital de acuerdo a este instrumento legal resolver mi petición en el término máximo de 6 días. </w:t>
      </w:r>
    </w:p>
    <w:p w14:paraId="00000045" w14:textId="77777777" w:rsidR="00877EC0" w:rsidRDefault="00431A4B">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La falta de acceso por parte de las mujeres al aborto no punible, constituye una violación sistemática de los derechos humanos de estas niñas y adolescent</w:t>
      </w:r>
      <w:r>
        <w:rPr>
          <w:rFonts w:ascii="Arial" w:eastAsia="Arial" w:hAnsi="Arial" w:cs="Arial"/>
          <w:sz w:val="22"/>
          <w:szCs w:val="22"/>
        </w:rPr>
        <w:t>es, especialmente de su derecho a la vida, salud, integridad, igualdad, a una vida libre de violencia, a la seguridad personal, a la autonomía, a la intimidad, a tomar decisiones sobre su vida reproductiva, a la autodeterminación sexual, a la dignidad, a l</w:t>
      </w:r>
      <w:r>
        <w:rPr>
          <w:rFonts w:ascii="Arial" w:eastAsia="Arial" w:hAnsi="Arial" w:cs="Arial"/>
          <w:sz w:val="22"/>
          <w:szCs w:val="22"/>
        </w:rPr>
        <w:t>a salud sexual, a la salud reproductiva, a la no discriminación, a gozar de los beneficios del progreso científico, y a no ser sometidas a tratos crueles, inhumanos y degradantes. Diversos organismos de Derechos Humanos en materia de estándares internacion</w:t>
      </w:r>
      <w:r>
        <w:rPr>
          <w:rFonts w:ascii="Arial" w:eastAsia="Arial" w:hAnsi="Arial" w:cs="Arial"/>
          <w:sz w:val="22"/>
          <w:szCs w:val="22"/>
        </w:rPr>
        <w:t xml:space="preserve">ales de protección han establecido que cuando la vida y salud de la mujer está en riesgo se debe asegurar el acceso a una interrupción segura del embarazo a decisión de </w:t>
      </w:r>
      <w:r>
        <w:rPr>
          <w:rFonts w:ascii="Arial" w:eastAsia="Arial" w:hAnsi="Arial" w:cs="Arial"/>
          <w:sz w:val="22"/>
          <w:szCs w:val="22"/>
        </w:rPr>
        <w:lastRenderedPageBreak/>
        <w:t>la mujer</w:t>
      </w:r>
      <w:r>
        <w:rPr>
          <w:rFonts w:ascii="Arial" w:eastAsia="Arial" w:hAnsi="Arial" w:cs="Arial"/>
          <w:sz w:val="22"/>
          <w:szCs w:val="22"/>
          <w:vertAlign w:val="superscript"/>
        </w:rPr>
        <w:footnoteReference w:id="7"/>
      </w:r>
      <w:r>
        <w:rPr>
          <w:rFonts w:ascii="Arial" w:eastAsia="Arial" w:hAnsi="Arial" w:cs="Arial"/>
          <w:sz w:val="22"/>
          <w:szCs w:val="22"/>
        </w:rPr>
        <w:t>, y garantizar la no negación de la atención médica</w:t>
      </w:r>
      <w:r>
        <w:rPr>
          <w:rFonts w:ascii="Arial" w:eastAsia="Arial" w:hAnsi="Arial" w:cs="Arial"/>
          <w:sz w:val="22"/>
          <w:szCs w:val="22"/>
          <w:vertAlign w:val="superscript"/>
        </w:rPr>
        <w:footnoteReference w:id="8"/>
      </w:r>
      <w:r>
        <w:rPr>
          <w:rFonts w:ascii="Arial" w:eastAsia="Arial" w:hAnsi="Arial" w:cs="Arial"/>
          <w:sz w:val="22"/>
          <w:szCs w:val="22"/>
        </w:rPr>
        <w:t xml:space="preserve"> necesaria para precautela</w:t>
      </w:r>
      <w:r>
        <w:rPr>
          <w:rFonts w:ascii="Arial" w:eastAsia="Arial" w:hAnsi="Arial" w:cs="Arial"/>
          <w:sz w:val="22"/>
          <w:szCs w:val="22"/>
        </w:rPr>
        <w:t xml:space="preserve">r la vida y derechos de las mujeres.. </w:t>
      </w:r>
    </w:p>
    <w:p w14:paraId="00000046" w14:textId="77777777" w:rsidR="00877EC0" w:rsidRDefault="00431A4B">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solicitud y se practique el aborto terapeútico a mi favor.</w:t>
      </w:r>
    </w:p>
    <w:p w14:paraId="00000047" w14:textId="77777777" w:rsidR="00877EC0" w:rsidRDefault="00431A4B">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 xml:space="preserve">Las notificaciones y respuestas a mi solicitud las recibiré a los correos electrónicos </w:t>
      </w:r>
      <w:r>
        <w:rPr>
          <w:rFonts w:ascii="Arial" w:eastAsia="Arial" w:hAnsi="Arial" w:cs="Arial"/>
          <w:sz w:val="22"/>
          <w:szCs w:val="22"/>
          <w:highlight w:val="yellow"/>
        </w:rPr>
        <w:t>(poner el correo e</w:t>
      </w:r>
      <w:r>
        <w:rPr>
          <w:rFonts w:ascii="Arial" w:eastAsia="Arial" w:hAnsi="Arial" w:cs="Arial"/>
          <w:sz w:val="22"/>
          <w:szCs w:val="22"/>
          <w:highlight w:val="yellow"/>
        </w:rPr>
        <w:t>lectrónico de la mujer)</w:t>
      </w:r>
      <w:r>
        <w:rPr>
          <w:rFonts w:ascii="Arial" w:eastAsia="Arial" w:hAnsi="Arial" w:cs="Arial"/>
          <w:sz w:val="22"/>
          <w:szCs w:val="22"/>
        </w:rPr>
        <w:t xml:space="preserve"> y </w:t>
      </w:r>
      <w:hyperlink r:id="rId9">
        <w:r>
          <w:rPr>
            <w:rFonts w:ascii="Arial" w:eastAsia="Arial" w:hAnsi="Arial" w:cs="Arial"/>
            <w:color w:val="1155CC"/>
            <w:sz w:val="22"/>
            <w:szCs w:val="22"/>
            <w:u w:val="single"/>
          </w:rPr>
          <w:t>surkuna.ec@gmail.com</w:t>
        </w:r>
      </w:hyperlink>
      <w:r>
        <w:rPr>
          <w:rFonts w:ascii="Arial" w:eastAsia="Arial" w:hAnsi="Arial" w:cs="Arial"/>
          <w:sz w:val="22"/>
          <w:szCs w:val="22"/>
        </w:rPr>
        <w:t xml:space="preserve">. Así como a los números </w:t>
      </w:r>
      <w:r>
        <w:rPr>
          <w:rFonts w:ascii="Arial" w:eastAsia="Arial" w:hAnsi="Arial" w:cs="Arial"/>
          <w:sz w:val="22"/>
          <w:szCs w:val="22"/>
          <w:highlight w:val="yellow"/>
        </w:rPr>
        <w:t>PONER NÚMERO Y NOMBRE DE LA MUJER</w:t>
      </w:r>
      <w:r>
        <w:rPr>
          <w:rFonts w:ascii="Arial" w:eastAsia="Arial" w:hAnsi="Arial" w:cs="Arial"/>
          <w:sz w:val="22"/>
          <w:szCs w:val="22"/>
        </w:rPr>
        <w:t xml:space="preserve"> y </w:t>
      </w:r>
      <w:r>
        <w:rPr>
          <w:rFonts w:ascii="Arial" w:eastAsia="Arial" w:hAnsi="Arial" w:cs="Arial"/>
          <w:sz w:val="22"/>
          <w:szCs w:val="22"/>
          <w:highlight w:val="white"/>
        </w:rPr>
        <w:t>0963630034 (LIBRE - SURKUNA).</w:t>
      </w:r>
    </w:p>
    <w:p w14:paraId="00000048" w14:textId="77777777" w:rsidR="00877EC0" w:rsidRDefault="00877EC0">
      <w:pPr>
        <w:widowControl w:val="0"/>
        <w:spacing w:before="240" w:after="240" w:line="276" w:lineRule="auto"/>
        <w:jc w:val="both"/>
        <w:rPr>
          <w:rFonts w:ascii="Arial" w:eastAsia="Arial" w:hAnsi="Arial" w:cs="Arial"/>
          <w:sz w:val="22"/>
          <w:szCs w:val="22"/>
          <w:highlight w:val="white"/>
        </w:rPr>
      </w:pPr>
    </w:p>
    <w:p w14:paraId="00000049" w14:textId="77777777" w:rsidR="00877EC0" w:rsidRDefault="00431A4B">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Atentamente,</w:t>
      </w:r>
    </w:p>
    <w:p w14:paraId="0000004A" w14:textId="77777777" w:rsidR="00877EC0" w:rsidRDefault="00877EC0">
      <w:pPr>
        <w:widowControl w:val="0"/>
        <w:spacing w:before="240" w:after="240" w:line="276" w:lineRule="auto"/>
        <w:jc w:val="both"/>
        <w:rPr>
          <w:rFonts w:ascii="Arial" w:eastAsia="Arial" w:hAnsi="Arial" w:cs="Arial"/>
          <w:sz w:val="22"/>
          <w:szCs w:val="22"/>
        </w:rPr>
      </w:pPr>
    </w:p>
    <w:p w14:paraId="0000004B" w14:textId="77777777" w:rsidR="00877EC0" w:rsidRDefault="00877EC0">
      <w:pPr>
        <w:widowControl w:val="0"/>
        <w:spacing w:before="240" w:after="240" w:line="276" w:lineRule="auto"/>
        <w:jc w:val="both"/>
        <w:rPr>
          <w:rFonts w:ascii="Arial" w:eastAsia="Arial" w:hAnsi="Arial" w:cs="Arial"/>
          <w:sz w:val="22"/>
          <w:szCs w:val="22"/>
        </w:rPr>
      </w:pPr>
    </w:p>
    <w:p w14:paraId="0000004C"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MUJER</w:t>
      </w:r>
    </w:p>
    <w:p w14:paraId="0000004D" w14:textId="77777777" w:rsidR="00877EC0" w:rsidRDefault="00431A4B">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4E" w14:textId="77777777" w:rsidR="00877EC0" w:rsidRDefault="00877EC0">
      <w:pPr>
        <w:widowControl w:val="0"/>
        <w:spacing w:line="276" w:lineRule="auto"/>
        <w:jc w:val="both"/>
        <w:rPr>
          <w:rFonts w:ascii="Arial" w:eastAsia="Arial" w:hAnsi="Arial" w:cs="Arial"/>
          <w:sz w:val="22"/>
          <w:szCs w:val="22"/>
        </w:rPr>
      </w:pPr>
    </w:p>
    <w:p w14:paraId="0000004F" w14:textId="1B0703AC" w:rsidR="00877EC0" w:rsidRDefault="00877EC0">
      <w:pPr>
        <w:widowControl w:val="0"/>
        <w:spacing w:line="276" w:lineRule="auto"/>
        <w:jc w:val="both"/>
        <w:rPr>
          <w:rFonts w:ascii="Arial" w:eastAsia="Arial" w:hAnsi="Arial" w:cs="Arial"/>
          <w:sz w:val="22"/>
          <w:szCs w:val="22"/>
        </w:rPr>
      </w:pPr>
    </w:p>
    <w:p w14:paraId="772495AD" w14:textId="518F16E4" w:rsidR="00801505" w:rsidRDefault="00801505">
      <w:pPr>
        <w:widowControl w:val="0"/>
        <w:spacing w:line="276" w:lineRule="auto"/>
        <w:jc w:val="both"/>
        <w:rPr>
          <w:rFonts w:ascii="Arial" w:eastAsia="Arial" w:hAnsi="Arial" w:cs="Arial"/>
          <w:sz w:val="22"/>
          <w:szCs w:val="22"/>
        </w:rPr>
      </w:pPr>
    </w:p>
    <w:p w14:paraId="796E0B35" w14:textId="0DB0DD0E" w:rsidR="00801505" w:rsidRDefault="00801505">
      <w:pPr>
        <w:widowControl w:val="0"/>
        <w:spacing w:line="276" w:lineRule="auto"/>
        <w:jc w:val="both"/>
        <w:rPr>
          <w:rFonts w:ascii="Arial" w:eastAsia="Arial" w:hAnsi="Arial" w:cs="Arial"/>
          <w:sz w:val="22"/>
          <w:szCs w:val="22"/>
        </w:rPr>
      </w:pPr>
    </w:p>
    <w:p w14:paraId="551D0BAC" w14:textId="77777777" w:rsidR="00801505" w:rsidRDefault="00801505">
      <w:pPr>
        <w:widowControl w:val="0"/>
        <w:spacing w:line="276" w:lineRule="auto"/>
        <w:jc w:val="both"/>
        <w:rPr>
          <w:rFonts w:ascii="Arial" w:eastAsia="Arial" w:hAnsi="Arial" w:cs="Arial"/>
          <w:sz w:val="22"/>
          <w:szCs w:val="22"/>
        </w:rPr>
      </w:pPr>
      <w:bookmarkStart w:id="3" w:name="_GoBack"/>
      <w:bookmarkEnd w:id="3"/>
    </w:p>
    <w:p w14:paraId="00000050" w14:textId="77777777" w:rsidR="00877EC0" w:rsidRDefault="00877EC0">
      <w:pPr>
        <w:widowControl w:val="0"/>
        <w:pBdr>
          <w:top w:val="nil"/>
          <w:left w:val="nil"/>
          <w:bottom w:val="nil"/>
          <w:right w:val="nil"/>
          <w:between w:val="nil"/>
        </w:pBdr>
        <w:spacing w:line="276" w:lineRule="auto"/>
        <w:jc w:val="both"/>
        <w:rPr>
          <w:rFonts w:ascii="Arial" w:eastAsia="Arial" w:hAnsi="Arial" w:cs="Arial"/>
          <w:sz w:val="22"/>
          <w:szCs w:val="22"/>
          <w:highlight w:val="yellow"/>
        </w:rPr>
      </w:pPr>
    </w:p>
    <w:p w14:paraId="00000051" w14:textId="77777777" w:rsidR="00877EC0" w:rsidRDefault="00877EC0">
      <w:pPr>
        <w:widowControl w:val="0"/>
        <w:pBdr>
          <w:top w:val="nil"/>
          <w:left w:val="nil"/>
          <w:bottom w:val="nil"/>
          <w:right w:val="nil"/>
          <w:between w:val="nil"/>
        </w:pBdr>
        <w:spacing w:line="276" w:lineRule="auto"/>
        <w:jc w:val="both"/>
        <w:rPr>
          <w:rFonts w:ascii="Arial" w:eastAsia="Arial" w:hAnsi="Arial" w:cs="Arial"/>
          <w:sz w:val="22"/>
          <w:szCs w:val="22"/>
          <w:highlight w:val="yellow"/>
        </w:rPr>
      </w:pPr>
    </w:p>
    <w:p w14:paraId="00000052" w14:textId="1007EC75" w:rsidR="00877EC0" w:rsidRDefault="00431A4B">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EN CASO DE NECESITAR ASESORÍA Y ACOMPAÑAMIENTO LEGAL PARA ACCEDER AL ABORTO LEG</w:t>
      </w:r>
      <w:r>
        <w:rPr>
          <w:rFonts w:ascii="Arial" w:eastAsia="Arial" w:hAnsi="Arial" w:cs="Arial"/>
          <w:sz w:val="22"/>
          <w:szCs w:val="22"/>
          <w:highlight w:val="yellow"/>
        </w:rPr>
        <w:t>AL, PUEDE CONTACTAR A NUESTRA LÍNEA “LIBRE”: 0963630034</w:t>
      </w:r>
    </w:p>
    <w:sectPr w:rsidR="00877EC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1D2E" w14:textId="77777777" w:rsidR="00431A4B" w:rsidRDefault="00431A4B">
      <w:r>
        <w:separator/>
      </w:r>
    </w:p>
  </w:endnote>
  <w:endnote w:type="continuationSeparator" w:id="0">
    <w:p w14:paraId="1B4E7743" w14:textId="77777777" w:rsidR="00431A4B" w:rsidRDefault="0043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385E" w14:textId="77777777" w:rsidR="00431A4B" w:rsidRDefault="00431A4B">
      <w:r>
        <w:separator/>
      </w:r>
    </w:p>
  </w:footnote>
  <w:footnote w:type="continuationSeparator" w:id="0">
    <w:p w14:paraId="2DF9ED4F" w14:textId="77777777" w:rsidR="00431A4B" w:rsidRDefault="00431A4B">
      <w:r>
        <w:continuationSeparator/>
      </w:r>
    </w:p>
  </w:footnote>
  <w:footnote w:id="1">
    <w:p w14:paraId="00000053" w14:textId="77777777" w:rsidR="00877EC0" w:rsidRDefault="00431A4B">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54" w14:textId="77777777" w:rsidR="00877EC0" w:rsidRDefault="00431A4B">
      <w:pPr>
        <w:widowControl w:val="0"/>
        <w:ind w:hanging="2"/>
        <w:jc w:val="both"/>
      </w:pPr>
      <w:r>
        <w:rPr>
          <w:vertAlign w:val="superscript"/>
        </w:rPr>
        <w:footnoteRef/>
      </w:r>
      <w:r>
        <w:rPr>
          <w:sz w:val="16"/>
          <w:szCs w:val="16"/>
        </w:rPr>
        <w:t xml:space="preserve"> </w:t>
      </w:r>
      <w:r>
        <w:rPr>
          <w:sz w:val="16"/>
          <w:szCs w:val="16"/>
        </w:rPr>
        <w:t>Párrafo 130</w:t>
      </w:r>
    </w:p>
  </w:footnote>
  <w:footnote w:id="3">
    <w:p w14:paraId="00000055" w14:textId="77777777" w:rsidR="00877EC0" w:rsidRDefault="00431A4B">
      <w:pPr>
        <w:widowControl w:val="0"/>
        <w:ind w:hanging="2"/>
        <w:jc w:val="both"/>
      </w:pPr>
      <w:r>
        <w:rPr>
          <w:vertAlign w:val="superscript"/>
        </w:rPr>
        <w:footnoteRef/>
      </w:r>
      <w:r>
        <w:rPr>
          <w:sz w:val="16"/>
          <w:szCs w:val="16"/>
        </w:rPr>
        <w:t xml:space="preserve"> </w:t>
      </w:r>
      <w:r>
        <w:rPr>
          <w:sz w:val="16"/>
          <w:szCs w:val="16"/>
        </w:rPr>
        <w:t>Párrafo 133</w:t>
      </w:r>
    </w:p>
  </w:footnote>
  <w:footnote w:id="4">
    <w:p w14:paraId="00000056" w14:textId="77777777" w:rsidR="00877EC0" w:rsidRDefault="00431A4B">
      <w:pPr>
        <w:widowControl w:val="0"/>
        <w:ind w:hanging="2"/>
        <w:jc w:val="both"/>
      </w:pPr>
      <w:r>
        <w:rPr>
          <w:vertAlign w:val="superscript"/>
        </w:rPr>
        <w:footnoteRef/>
      </w:r>
      <w:r>
        <w:rPr>
          <w:sz w:val="16"/>
          <w:szCs w:val="16"/>
        </w:rPr>
        <w:t xml:space="preserve"> </w:t>
      </w:r>
      <w:r>
        <w:rPr>
          <w:sz w:val="16"/>
          <w:szCs w:val="16"/>
        </w:rPr>
        <w:t>Párrafo 134</w:t>
      </w:r>
    </w:p>
  </w:footnote>
  <w:footnote w:id="5">
    <w:p w14:paraId="00000057" w14:textId="77777777" w:rsidR="00877EC0" w:rsidRDefault="00431A4B">
      <w:pPr>
        <w:widowControl w:val="0"/>
        <w:ind w:hanging="2"/>
        <w:jc w:val="both"/>
      </w:pPr>
      <w:r>
        <w:rPr>
          <w:vertAlign w:val="superscript"/>
        </w:rPr>
        <w:footnoteRef/>
      </w:r>
      <w:r>
        <w:rPr>
          <w:sz w:val="16"/>
          <w:szCs w:val="16"/>
        </w:rPr>
        <w:t xml:space="preserve"> </w:t>
      </w:r>
      <w:r>
        <w:rPr>
          <w:sz w:val="16"/>
          <w:szCs w:val="16"/>
        </w:rPr>
        <w:t>Párrafo 135</w:t>
      </w:r>
    </w:p>
  </w:footnote>
  <w:footnote w:id="6">
    <w:p w14:paraId="00000058" w14:textId="77777777" w:rsidR="00877EC0" w:rsidRDefault="00431A4B">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 Disponible https://www.acnur.org/fileadmin/Documentos/BDL/2011/7532.pdf</w:t>
      </w:r>
    </w:p>
  </w:footnote>
  <w:footnote w:id="7">
    <w:p w14:paraId="00000059" w14:textId="77777777" w:rsidR="00877EC0" w:rsidRDefault="00431A4B">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sz w:val="16"/>
          <w:szCs w:val="16"/>
        </w:rPr>
        <w:t>Diversos organismos de Derechos Humanos en materia de estándares internacionales de protección h</w:t>
      </w:r>
      <w:r>
        <w:rPr>
          <w:rFonts w:ascii="Arial" w:eastAsia="Arial" w:hAnsi="Arial" w:cs="Arial"/>
          <w:sz w:val="16"/>
          <w:szCs w:val="16"/>
        </w:rPr>
        <w:t>an establecido que cuando la vida y salud de la mujer está en riesgo se debe asegurar el acceso a una interrupción segura del embarazo a decisión de la mujer. En este sentido, considerando que la ilegalidad del aborto genera condiciones de riesgo para la i</w:t>
      </w:r>
      <w:r>
        <w:rPr>
          <w:rFonts w:ascii="Arial" w:eastAsia="Arial" w:hAnsi="Arial" w:cs="Arial"/>
          <w:sz w:val="16"/>
          <w:szCs w:val="16"/>
        </w:rPr>
        <w:t>ntegridad, vida y salud de las mujeres al obligarlas a buscar servicios clandestinos e inseguros que las exponen a muertes y complicaciones, podemos afirmar que la misma constituye una violación a los artículos: Art. 4 de la Convención Americana de Derecho</w:t>
      </w:r>
      <w:r>
        <w:rPr>
          <w:rFonts w:ascii="Arial" w:eastAsia="Arial" w:hAnsi="Arial" w:cs="Arial"/>
          <w:sz w:val="16"/>
          <w:szCs w:val="16"/>
        </w:rPr>
        <w:t xml:space="preserve">s Humanos, Art.12 de la CEDAW, Art. 6 del Pacto de Derechos Civiles y Políticos, Art.25 de la Declaración Universal de Derechos Humanos, Art. 5 de la Convención Internacional sobre la Eliminación de todas las Formas de Discriminación Racial, Art. 24 de la </w:t>
      </w:r>
      <w:r>
        <w:rPr>
          <w:rFonts w:ascii="Arial" w:eastAsia="Arial" w:hAnsi="Arial" w:cs="Arial"/>
          <w:sz w:val="16"/>
          <w:szCs w:val="16"/>
        </w:rPr>
        <w:t>convención sobre los Derechos del niño, el Art. del Pacto Internacional de Derechos Económicos, Sociales y Culturales; el Art. 10 del Protocolo de San Salvador, entre otros. La Corte Interamericana de Derechos Humanos en las medidas cautelares dictadas res</w:t>
      </w:r>
      <w:r>
        <w:rPr>
          <w:rFonts w:ascii="Arial" w:eastAsia="Arial" w:hAnsi="Arial" w:cs="Arial"/>
          <w:sz w:val="16"/>
          <w:szCs w:val="16"/>
        </w:rPr>
        <w:t xml:space="preserve">pecto del Salvador en el caso B, caso de riesgo a la vida de la mujer al continuar un embarazo padeciendo de lupus, estableció “ requerir al estado de El Salvador que adopte y garantice, de manera urgente, todas las medidas que sean necesarias y efectivas </w:t>
      </w:r>
      <w:r>
        <w:rPr>
          <w:rFonts w:ascii="Arial" w:eastAsia="Arial" w:hAnsi="Arial" w:cs="Arial"/>
          <w:sz w:val="16"/>
          <w:szCs w:val="16"/>
        </w:rPr>
        <w:t>para que el grupo médico tratante de la señora B. pueda adoptar, sin interferencia alguna, las medidas médicas que se consideren oportunas y convenientes para asegurar la debida protección de los derechos consagrados en los artículos 4 y 5 de la Convención</w:t>
      </w:r>
      <w:r>
        <w:rPr>
          <w:rFonts w:ascii="Arial" w:eastAsia="Arial" w:hAnsi="Arial" w:cs="Arial"/>
          <w:sz w:val="16"/>
          <w:szCs w:val="16"/>
        </w:rPr>
        <w:t xml:space="preserve"> Americana y, de este modo, evitar daños que pudiesen llegar a ser irreparables a los derechos a la vida y la integridad personal y a la salud de la señora B.”</w:t>
      </w:r>
    </w:p>
  </w:footnote>
  <w:footnote w:id="8">
    <w:p w14:paraId="0000005A" w14:textId="77777777" w:rsidR="00877EC0" w:rsidRDefault="00431A4B">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C15B9"/>
    <w:multiLevelType w:val="multilevel"/>
    <w:tmpl w:val="058C2FD2"/>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C0"/>
    <w:rsid w:val="00431A4B"/>
    <w:rsid w:val="00801505"/>
    <w:rsid w:val="00877E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073CC411"/>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rkuna.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2VwH5Qe+Mar3b76ictMYwYodg==">AMUW2mVb25WXoJNRBU1wnJRANEwmoducUbqBFrFI53IHATpriqdENMJVhYgN16a3M5bFyVgjdF74M/c7X4+ETI+wzJbWmcln/WdAwBEnGkrv+TBKwOBduCZIEfXVmFksfrjP4Qk+85pgMjHSJR84vlZocjOEtc92K+WaWBWujLrzwdKfiV1Hojg=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B3A122-CC7F-5B4E-9318-C1106C0F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2264</Words>
  <Characters>12457</Characters>
  <Application>Microsoft Office Word</Application>
  <DocSecurity>0</DocSecurity>
  <Lines>103</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2023-03-10T18:18:00Z</dcterms:modified>
</cp:coreProperties>
</file>