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76F31" w:rsidRDefault="00306B96">
      <w:pPr>
        <w:widowControl w:val="0"/>
        <w:pBdr>
          <w:top w:val="nil"/>
          <w:left w:val="nil"/>
          <w:bottom w:val="nil"/>
          <w:right w:val="nil"/>
          <w:between w:val="nil"/>
        </w:pBdr>
        <w:spacing w:line="276" w:lineRule="auto"/>
        <w:rPr>
          <w:sz w:val="22"/>
          <w:szCs w:val="22"/>
          <w:highlight w:val="yellow"/>
        </w:rPr>
      </w:pPr>
      <w:r>
        <w:rPr>
          <w:sz w:val="22"/>
          <w:szCs w:val="22"/>
          <w:highlight w:val="yellow"/>
        </w:rPr>
        <w:t>SOLICITUD ABORTO ADOLESCENTES MAYORES A 14 AÑOS SOLAS</w:t>
      </w:r>
    </w:p>
    <w:p w14:paraId="00000002" w14:textId="77777777" w:rsidR="00876F31" w:rsidRDefault="00876F31">
      <w:pPr>
        <w:widowControl w:val="0"/>
        <w:pBdr>
          <w:top w:val="nil"/>
          <w:left w:val="nil"/>
          <w:bottom w:val="nil"/>
          <w:right w:val="nil"/>
          <w:between w:val="nil"/>
        </w:pBdr>
        <w:spacing w:line="276" w:lineRule="auto"/>
        <w:rPr>
          <w:sz w:val="22"/>
          <w:szCs w:val="22"/>
          <w:highlight w:val="yellow"/>
        </w:rPr>
      </w:pPr>
    </w:p>
    <w:p w14:paraId="00000003" w14:textId="77777777" w:rsidR="00876F31" w:rsidRDefault="00306B96">
      <w:pPr>
        <w:widowControl w:val="0"/>
        <w:pBdr>
          <w:top w:val="nil"/>
          <w:left w:val="nil"/>
          <w:bottom w:val="nil"/>
          <w:right w:val="nil"/>
          <w:between w:val="nil"/>
        </w:pBdr>
        <w:spacing w:line="276" w:lineRule="auto"/>
        <w:jc w:val="right"/>
        <w:rPr>
          <w:color w:val="000000"/>
          <w:sz w:val="22"/>
          <w:szCs w:val="22"/>
          <w:highlight w:val="yellow"/>
        </w:rPr>
      </w:pPr>
      <w:r>
        <w:rPr>
          <w:sz w:val="22"/>
          <w:szCs w:val="22"/>
          <w:highlight w:val="yellow"/>
        </w:rPr>
        <w:t xml:space="preserve">ciudad y fecha </w:t>
      </w:r>
    </w:p>
    <w:p w14:paraId="00000004" w14:textId="77777777" w:rsidR="00876F31" w:rsidRDefault="00876F31">
      <w:pPr>
        <w:widowControl w:val="0"/>
        <w:spacing w:line="276" w:lineRule="auto"/>
        <w:jc w:val="right"/>
        <w:rPr>
          <w:sz w:val="22"/>
          <w:szCs w:val="22"/>
          <w:highlight w:val="yellow"/>
        </w:rPr>
      </w:pPr>
    </w:p>
    <w:p w14:paraId="00000005" w14:textId="77777777" w:rsidR="00876F31" w:rsidRDefault="00306B96">
      <w:pPr>
        <w:widowControl w:val="0"/>
        <w:spacing w:line="276" w:lineRule="auto"/>
        <w:jc w:val="right"/>
        <w:rPr>
          <w:sz w:val="22"/>
          <w:szCs w:val="22"/>
          <w:highlight w:val="yellow"/>
        </w:rPr>
      </w:pPr>
      <w:r>
        <w:rPr>
          <w:sz w:val="22"/>
          <w:szCs w:val="22"/>
          <w:highlight w:val="yellow"/>
        </w:rPr>
        <w:t>Fecha</w:t>
      </w:r>
    </w:p>
    <w:p w14:paraId="00000006" w14:textId="77777777" w:rsidR="00876F31" w:rsidRDefault="00876F31">
      <w:pPr>
        <w:widowControl w:val="0"/>
        <w:spacing w:line="276" w:lineRule="auto"/>
        <w:rPr>
          <w:sz w:val="22"/>
          <w:szCs w:val="22"/>
        </w:rPr>
      </w:pPr>
    </w:p>
    <w:p w14:paraId="00000007" w14:textId="77777777" w:rsidR="00876F31" w:rsidRDefault="00876F31">
      <w:pPr>
        <w:widowControl w:val="0"/>
        <w:spacing w:line="276" w:lineRule="auto"/>
        <w:rPr>
          <w:sz w:val="22"/>
          <w:szCs w:val="22"/>
        </w:rPr>
      </w:pPr>
    </w:p>
    <w:p w14:paraId="00000008" w14:textId="77777777" w:rsidR="00876F31" w:rsidRDefault="00306B96">
      <w:pPr>
        <w:widowControl w:val="0"/>
        <w:spacing w:line="276" w:lineRule="auto"/>
        <w:rPr>
          <w:sz w:val="22"/>
          <w:szCs w:val="22"/>
        </w:rPr>
      </w:pPr>
      <w:r>
        <w:rPr>
          <w:sz w:val="22"/>
          <w:szCs w:val="22"/>
        </w:rPr>
        <w:t xml:space="preserve">Señor/a Gerente </w:t>
      </w:r>
    </w:p>
    <w:p w14:paraId="00000009" w14:textId="77777777" w:rsidR="00876F31" w:rsidRDefault="00306B96">
      <w:pPr>
        <w:widowControl w:val="0"/>
        <w:spacing w:line="276" w:lineRule="auto"/>
        <w:rPr>
          <w:sz w:val="22"/>
          <w:szCs w:val="22"/>
          <w:highlight w:val="yellow"/>
        </w:rPr>
      </w:pPr>
      <w:r>
        <w:rPr>
          <w:sz w:val="22"/>
          <w:szCs w:val="22"/>
          <w:highlight w:val="yellow"/>
        </w:rPr>
        <w:t>Poner nombre del  Hospital</w:t>
      </w:r>
    </w:p>
    <w:p w14:paraId="0000000A" w14:textId="77777777" w:rsidR="00876F31" w:rsidRDefault="00306B96">
      <w:pPr>
        <w:widowControl w:val="0"/>
        <w:spacing w:line="276" w:lineRule="auto"/>
        <w:rPr>
          <w:sz w:val="22"/>
          <w:szCs w:val="22"/>
        </w:rPr>
      </w:pPr>
      <w:r>
        <w:rPr>
          <w:sz w:val="22"/>
          <w:szCs w:val="22"/>
        </w:rPr>
        <w:t>Presente,</w:t>
      </w:r>
    </w:p>
    <w:p w14:paraId="0000000B" w14:textId="77777777" w:rsidR="00876F31" w:rsidRDefault="00876F31">
      <w:pPr>
        <w:widowControl w:val="0"/>
        <w:spacing w:line="276" w:lineRule="auto"/>
        <w:rPr>
          <w:sz w:val="22"/>
          <w:szCs w:val="22"/>
        </w:rPr>
      </w:pPr>
    </w:p>
    <w:p w14:paraId="0000000C" w14:textId="77777777" w:rsidR="00876F31" w:rsidRDefault="00306B96">
      <w:pPr>
        <w:widowControl w:val="0"/>
        <w:spacing w:line="276" w:lineRule="auto"/>
        <w:rPr>
          <w:sz w:val="22"/>
          <w:szCs w:val="22"/>
        </w:rPr>
      </w:pPr>
      <w:r>
        <w:rPr>
          <w:sz w:val="22"/>
          <w:szCs w:val="22"/>
        </w:rPr>
        <w:t xml:space="preserve">Señor/a Director/a Asistencial Médico </w:t>
      </w:r>
    </w:p>
    <w:p w14:paraId="0000000D" w14:textId="77777777" w:rsidR="00876F31" w:rsidRDefault="00306B96">
      <w:pPr>
        <w:widowControl w:val="0"/>
        <w:spacing w:line="276" w:lineRule="auto"/>
        <w:rPr>
          <w:sz w:val="22"/>
          <w:szCs w:val="22"/>
          <w:highlight w:val="yellow"/>
        </w:rPr>
      </w:pPr>
      <w:r>
        <w:rPr>
          <w:sz w:val="22"/>
          <w:szCs w:val="22"/>
          <w:highlight w:val="yellow"/>
        </w:rPr>
        <w:t>Poner Nombre del hospital</w:t>
      </w:r>
    </w:p>
    <w:p w14:paraId="0000000E" w14:textId="77777777" w:rsidR="00876F31" w:rsidRDefault="00306B96">
      <w:pPr>
        <w:widowControl w:val="0"/>
        <w:spacing w:line="276" w:lineRule="auto"/>
        <w:rPr>
          <w:color w:val="000000"/>
          <w:sz w:val="22"/>
          <w:szCs w:val="22"/>
        </w:rPr>
      </w:pPr>
      <w:r>
        <w:rPr>
          <w:sz w:val="22"/>
          <w:szCs w:val="22"/>
        </w:rPr>
        <w:t>Presente,</w:t>
      </w:r>
    </w:p>
    <w:p w14:paraId="0000000F" w14:textId="77777777" w:rsidR="00876F31" w:rsidRDefault="00876F31">
      <w:pPr>
        <w:widowControl w:val="0"/>
        <w:pBdr>
          <w:top w:val="nil"/>
          <w:left w:val="nil"/>
          <w:bottom w:val="nil"/>
          <w:right w:val="nil"/>
          <w:between w:val="nil"/>
        </w:pBdr>
        <w:spacing w:line="276" w:lineRule="auto"/>
        <w:rPr>
          <w:color w:val="000000"/>
          <w:sz w:val="22"/>
          <w:szCs w:val="22"/>
        </w:rPr>
      </w:pPr>
    </w:p>
    <w:p w14:paraId="00000010" w14:textId="77777777" w:rsidR="00876F31" w:rsidRDefault="00306B96">
      <w:pPr>
        <w:widowControl w:val="0"/>
        <w:pBdr>
          <w:top w:val="nil"/>
          <w:left w:val="nil"/>
          <w:bottom w:val="nil"/>
          <w:right w:val="nil"/>
          <w:between w:val="nil"/>
        </w:pBdr>
        <w:spacing w:line="276" w:lineRule="auto"/>
        <w:rPr>
          <w:color w:val="000000"/>
          <w:sz w:val="22"/>
          <w:szCs w:val="22"/>
        </w:rPr>
      </w:pPr>
      <w:r>
        <w:rPr>
          <w:color w:val="000000"/>
          <w:sz w:val="22"/>
          <w:szCs w:val="22"/>
        </w:rPr>
        <w:t>De mis consideraciones:</w:t>
      </w:r>
    </w:p>
    <w:p w14:paraId="00000011" w14:textId="77777777" w:rsidR="00876F31" w:rsidRDefault="00876F31">
      <w:pPr>
        <w:widowControl w:val="0"/>
        <w:pBdr>
          <w:top w:val="nil"/>
          <w:left w:val="nil"/>
          <w:bottom w:val="nil"/>
          <w:right w:val="nil"/>
          <w:between w:val="nil"/>
        </w:pBdr>
        <w:spacing w:line="276" w:lineRule="auto"/>
        <w:jc w:val="both"/>
        <w:rPr>
          <w:color w:val="000000"/>
          <w:sz w:val="22"/>
          <w:szCs w:val="22"/>
        </w:rPr>
      </w:pPr>
    </w:p>
    <w:p w14:paraId="00000012" w14:textId="77777777" w:rsidR="00876F31" w:rsidRDefault="00306B96">
      <w:pPr>
        <w:widowControl w:val="0"/>
        <w:pBdr>
          <w:top w:val="nil"/>
          <w:left w:val="nil"/>
          <w:bottom w:val="nil"/>
          <w:right w:val="nil"/>
          <w:between w:val="nil"/>
        </w:pBdr>
        <w:spacing w:line="276" w:lineRule="auto"/>
        <w:jc w:val="both"/>
        <w:rPr>
          <w:sz w:val="22"/>
          <w:szCs w:val="22"/>
        </w:rPr>
      </w:pPr>
      <w:r>
        <w:rPr>
          <w:color w:val="000000"/>
          <w:sz w:val="22"/>
          <w:szCs w:val="22"/>
        </w:rPr>
        <w:t xml:space="preserve">Yo, </w:t>
      </w:r>
      <w:r>
        <w:rPr>
          <w:color w:val="000000"/>
          <w:sz w:val="22"/>
          <w:szCs w:val="22"/>
          <w:highlight w:val="yellow"/>
        </w:rPr>
        <w:t>PONER NOMBRE</w:t>
      </w:r>
      <w:r>
        <w:rPr>
          <w:color w:val="000000"/>
          <w:sz w:val="22"/>
          <w:szCs w:val="22"/>
        </w:rPr>
        <w:t xml:space="preserve"> con c.c.</w:t>
      </w:r>
      <w:r>
        <w:rPr>
          <w:sz w:val="22"/>
          <w:szCs w:val="22"/>
        </w:rPr>
        <w:t xml:space="preserve"> </w:t>
      </w:r>
      <w:r>
        <w:rPr>
          <w:sz w:val="22"/>
          <w:szCs w:val="22"/>
          <w:highlight w:val="yellow"/>
        </w:rPr>
        <w:t>PONER CÉDULA</w:t>
      </w:r>
      <w:r>
        <w:rPr>
          <w:color w:val="000000"/>
          <w:sz w:val="22"/>
          <w:szCs w:val="22"/>
        </w:rPr>
        <w:t xml:space="preserve"> por medio de la presente solicito a Ustedes la  realización de un aborto terapeútico</w:t>
      </w:r>
      <w:r>
        <w:rPr>
          <w:sz w:val="22"/>
          <w:szCs w:val="22"/>
        </w:rPr>
        <w:t xml:space="preserve">. Actualmente tengo </w:t>
      </w:r>
      <w:r>
        <w:rPr>
          <w:sz w:val="22"/>
          <w:szCs w:val="22"/>
          <w:highlight w:val="yellow"/>
        </w:rPr>
        <w:t>poner edad</w:t>
      </w:r>
      <w:r>
        <w:rPr>
          <w:sz w:val="22"/>
          <w:szCs w:val="22"/>
        </w:rPr>
        <w:t xml:space="preserve"> años de edad, y mi  caso cumple con lo establecido en el articulo 150, es decir es un caso de aborto no punible. Por lo que amparada en lo establecido en la decisión de la corte constitucional 34-19IN y acumulados  y en su ampliación y aclaración del 9 de</w:t>
      </w:r>
      <w:r>
        <w:rPr>
          <w:sz w:val="22"/>
          <w:szCs w:val="22"/>
        </w:rPr>
        <w:t xml:space="preserve"> junio del 2021, que disponen que el único requisito para que las niñas y adolescentes  accedamos a un aborto legal es que lo solicitemos y que brindemos nuestro consentimiento informado solicito que se me realice este procedimiento a brevedad posible. </w:t>
      </w:r>
    </w:p>
    <w:p w14:paraId="00000013" w14:textId="77777777" w:rsidR="00876F31" w:rsidRDefault="00876F31">
      <w:pPr>
        <w:widowControl w:val="0"/>
        <w:pBdr>
          <w:top w:val="nil"/>
          <w:left w:val="nil"/>
          <w:bottom w:val="nil"/>
          <w:right w:val="nil"/>
          <w:between w:val="nil"/>
        </w:pBdr>
        <w:spacing w:line="276" w:lineRule="auto"/>
        <w:jc w:val="both"/>
        <w:rPr>
          <w:sz w:val="22"/>
          <w:szCs w:val="22"/>
        </w:rPr>
      </w:pPr>
    </w:p>
    <w:p w14:paraId="00000014" w14:textId="77777777" w:rsidR="00876F31" w:rsidRDefault="00306B96">
      <w:pPr>
        <w:widowControl w:val="0"/>
        <w:pBdr>
          <w:top w:val="nil"/>
          <w:left w:val="nil"/>
          <w:bottom w:val="nil"/>
          <w:right w:val="nil"/>
          <w:between w:val="nil"/>
        </w:pBdr>
        <w:spacing w:line="276" w:lineRule="auto"/>
        <w:jc w:val="both"/>
        <w:rPr>
          <w:sz w:val="22"/>
          <w:szCs w:val="22"/>
        </w:rPr>
      </w:pPr>
      <w:r>
        <w:rPr>
          <w:sz w:val="22"/>
          <w:szCs w:val="22"/>
        </w:rPr>
        <w:t>C</w:t>
      </w:r>
      <w:r>
        <w:rPr>
          <w:sz w:val="22"/>
          <w:szCs w:val="22"/>
        </w:rPr>
        <w:t>on el objetivo de dar mayores elementos a Ustedes y al equipo de salud de su establecimiento, a continuación cito los párrafos correspondientes de la sentencia de la Corte, máxima autoridad en materia legal del país:</w:t>
      </w:r>
    </w:p>
    <w:p w14:paraId="00000015" w14:textId="77777777" w:rsidR="00876F31" w:rsidRDefault="00876F31">
      <w:pPr>
        <w:widowControl w:val="0"/>
        <w:spacing w:line="276" w:lineRule="auto"/>
        <w:ind w:left="720"/>
        <w:jc w:val="both"/>
        <w:rPr>
          <w:rFonts w:ascii="Arial" w:eastAsia="Arial" w:hAnsi="Arial" w:cs="Arial"/>
          <w:sz w:val="22"/>
          <w:szCs w:val="22"/>
        </w:rPr>
      </w:pPr>
    </w:p>
    <w:p w14:paraId="00000016" w14:textId="77777777" w:rsidR="00876F31" w:rsidRDefault="00306B96">
      <w:pPr>
        <w:widowControl w:val="0"/>
        <w:spacing w:line="276" w:lineRule="auto"/>
        <w:ind w:left="720"/>
        <w:jc w:val="both"/>
      </w:pPr>
      <w:r>
        <w:t>En cuanto a los puntos (6) y (17) rela</w:t>
      </w:r>
      <w:r>
        <w:t>tivos a la falta de autorización del representante legal para acceder a la interrupción del embarazo en casos de violación, esta Corte,</w:t>
      </w:r>
    </w:p>
    <w:p w14:paraId="00000017" w14:textId="77777777" w:rsidR="00876F31" w:rsidRDefault="00306B96">
      <w:pPr>
        <w:widowControl w:val="0"/>
        <w:spacing w:line="276" w:lineRule="auto"/>
        <w:ind w:left="720"/>
        <w:jc w:val="both"/>
      </w:pPr>
      <w:r>
        <w:t>en el párr. 194 (b) de la sentencia, dispuso expresamente que</w:t>
      </w:r>
      <w:r>
        <w:rPr>
          <w:b/>
          <w:i/>
          <w:u w:val="single"/>
        </w:rPr>
        <w:t xml:space="preserve"> las niñas y adolescentes podrán acudir directamente ante l</w:t>
      </w:r>
      <w:r>
        <w:rPr>
          <w:b/>
          <w:i/>
          <w:u w:val="single"/>
        </w:rPr>
        <w:t xml:space="preserve">as autoridades competentes para informar sobre el hecho de la violación, sin trabas, miedo a represalias y guardando la confidencialidad, con el fin de acceder a la interrupción voluntaria del embarazo y ser asistidas médica y psicológicamente en casos de </w:t>
      </w:r>
      <w:r>
        <w:rPr>
          <w:b/>
          <w:i/>
          <w:u w:val="single"/>
        </w:rPr>
        <w:t xml:space="preserve">violación sin necesidad de la autorización del representante legal. </w:t>
      </w:r>
      <w:r>
        <w:t xml:space="preserve">En dicho párrafo, además, esta Corte hizoespecial énfasis en que la violación en niñas y adolescentes usualmente ocurre dentro de su círculo íntimo y familiar incluso por quienes ostentan </w:t>
      </w:r>
      <w:r>
        <w:t>su representación legal; razón por la cual, es necesario el establecimiento de mecanismos directos e inmediatos por parte de las autoridades.</w:t>
      </w:r>
    </w:p>
    <w:p w14:paraId="00000018" w14:textId="77777777" w:rsidR="00876F31" w:rsidRDefault="00876F31">
      <w:pPr>
        <w:widowControl w:val="0"/>
        <w:spacing w:line="276" w:lineRule="auto"/>
        <w:ind w:left="720"/>
        <w:jc w:val="both"/>
        <w:rPr>
          <w:sz w:val="22"/>
          <w:szCs w:val="22"/>
        </w:rPr>
      </w:pPr>
    </w:p>
    <w:p w14:paraId="00000019" w14:textId="77777777" w:rsidR="00876F31" w:rsidRDefault="00306B96">
      <w:pPr>
        <w:widowControl w:val="0"/>
        <w:spacing w:line="276" w:lineRule="auto"/>
        <w:jc w:val="both"/>
        <w:rPr>
          <w:sz w:val="22"/>
          <w:szCs w:val="22"/>
        </w:rPr>
      </w:pPr>
      <w:r>
        <w:rPr>
          <w:sz w:val="22"/>
          <w:szCs w:val="22"/>
        </w:rPr>
        <w:t xml:space="preserve">Igualmente, es importante señalar que de acuerdo al dictamen constitucional de admisión en la causa 41-11-IN, se </w:t>
      </w:r>
      <w:r>
        <w:rPr>
          <w:sz w:val="22"/>
          <w:szCs w:val="22"/>
        </w:rPr>
        <w:t xml:space="preserve">han suspendido el requisito de solicitar  autorización de terceras personas para el acceso a un aborto legal, razón por la cual las  niñas y adolescentes podemos presentar por nosotras mismas la solicitud de acceso a un aborto legal y somos quienes tienen </w:t>
      </w:r>
      <w:r>
        <w:rPr>
          <w:sz w:val="22"/>
          <w:szCs w:val="22"/>
        </w:rPr>
        <w:t xml:space="preserve">que firmar el consentimiento informado al respecto. </w:t>
      </w:r>
    </w:p>
    <w:p w14:paraId="0000001A" w14:textId="77777777" w:rsidR="00876F31" w:rsidRDefault="00876F31">
      <w:pPr>
        <w:widowControl w:val="0"/>
        <w:spacing w:line="276" w:lineRule="auto"/>
        <w:jc w:val="both"/>
        <w:rPr>
          <w:sz w:val="22"/>
          <w:szCs w:val="22"/>
        </w:rPr>
      </w:pPr>
    </w:p>
    <w:p w14:paraId="0000001B" w14:textId="77777777" w:rsidR="00876F31" w:rsidRDefault="00306B96">
      <w:pPr>
        <w:widowControl w:val="0"/>
        <w:spacing w:line="276" w:lineRule="auto"/>
        <w:jc w:val="both"/>
        <w:rPr>
          <w:sz w:val="22"/>
          <w:szCs w:val="22"/>
        </w:rPr>
      </w:pPr>
      <w:r>
        <w:rPr>
          <w:sz w:val="22"/>
          <w:szCs w:val="22"/>
        </w:rPr>
        <w:lastRenderedPageBreak/>
        <w:t>Lo cual quiere decir, que ustedes como autoridades de salud y como funcionarios publicos tienen la obligación de proveerme de un aborto legal sin la necesidad de solicitar que este acompañada por ningun</w:t>
      </w:r>
      <w:r>
        <w:rPr>
          <w:sz w:val="22"/>
          <w:szCs w:val="22"/>
        </w:rPr>
        <w:t>a persona. Es importante señalar que esta resolución establece  que la única persona que debe firmar el consentimiento informado soy yo misma, después de recibir asesoramiento, siendo innecesario condicionar mi acceso a la presencia o la autorización de cu</w:t>
      </w:r>
      <w:r>
        <w:rPr>
          <w:sz w:val="22"/>
          <w:szCs w:val="22"/>
        </w:rPr>
        <w:t xml:space="preserve">alquier otra persona. </w:t>
      </w:r>
    </w:p>
    <w:p w14:paraId="0000001C" w14:textId="77777777" w:rsidR="00876F31" w:rsidRDefault="00876F31">
      <w:pPr>
        <w:widowControl w:val="0"/>
        <w:spacing w:line="276" w:lineRule="auto"/>
        <w:jc w:val="both"/>
        <w:rPr>
          <w:sz w:val="22"/>
          <w:szCs w:val="22"/>
        </w:rPr>
      </w:pPr>
    </w:p>
    <w:p w14:paraId="0000001D" w14:textId="77777777" w:rsidR="00876F31" w:rsidRDefault="00306B96">
      <w:pPr>
        <w:widowControl w:val="0"/>
        <w:spacing w:line="276" w:lineRule="auto"/>
        <w:jc w:val="both"/>
        <w:rPr>
          <w:i/>
          <w:sz w:val="22"/>
          <w:szCs w:val="22"/>
        </w:rPr>
      </w:pPr>
      <w:r>
        <w:rPr>
          <w:sz w:val="22"/>
          <w:szCs w:val="22"/>
        </w:rPr>
        <w:t>Asimismo, es importante señalar que el día 28 de noviembre del 2022,  la corte constitucional en el acto de admisión 76-22-IN, dicto medidas cautelares que suspenden el articulo 19 de la Ley  Orgánica que Regula la Interrupción Volu</w:t>
      </w:r>
      <w:r>
        <w:rPr>
          <w:sz w:val="22"/>
          <w:szCs w:val="22"/>
        </w:rPr>
        <w:t>ntaria del Embarazo para Niñas, Adolescentes y Mujeres en caso de Violación. Por lo cual es ilegal y sería sancionable que me solicitaran algún requisito adicional a esta solicitud para acceder al procedimiento, esto de acuerdo a lo establecido en artículo</w:t>
      </w:r>
      <w:r>
        <w:rPr>
          <w:sz w:val="22"/>
          <w:szCs w:val="22"/>
        </w:rPr>
        <w:t xml:space="preserve"> 57 literal b de la ley </w:t>
      </w:r>
      <w:r>
        <w:rPr>
          <w:i/>
          <w:sz w:val="22"/>
          <w:szCs w:val="22"/>
        </w:rPr>
        <w:t>Ley Orgánica que Regula la Interrupción Voluntaria el Embarazo para Niñas, Adolescentes y Mujeres en caso de Violación.</w:t>
      </w:r>
    </w:p>
    <w:p w14:paraId="0000001E" w14:textId="77777777" w:rsidR="00876F31" w:rsidRDefault="00876F31">
      <w:pPr>
        <w:widowControl w:val="0"/>
        <w:spacing w:line="276" w:lineRule="auto"/>
        <w:jc w:val="both"/>
        <w:rPr>
          <w:i/>
          <w:sz w:val="22"/>
          <w:szCs w:val="22"/>
        </w:rPr>
      </w:pPr>
    </w:p>
    <w:p w14:paraId="0000001F" w14:textId="77777777" w:rsidR="00876F31" w:rsidRDefault="00306B96">
      <w:pPr>
        <w:widowControl w:val="0"/>
        <w:spacing w:after="160"/>
        <w:ind w:left="729" w:right="38"/>
        <w:jc w:val="both"/>
        <w:rPr>
          <w:i/>
        </w:rPr>
      </w:pPr>
      <w:r>
        <w:rPr>
          <w:b/>
          <w:i/>
        </w:rPr>
        <w:t xml:space="preserve">Artículo 57.- De las infracciones sancionadas con multa de 4 salarios básicos unificados.- </w:t>
      </w:r>
      <w:r>
        <w:rPr>
          <w:i/>
        </w:rPr>
        <w:t xml:space="preserve">Al personal de salud, se le podrá imponer la multa de hasta 4 salarios básicos unificados del trabajador en general, por las siguientes infracciones: </w:t>
      </w:r>
    </w:p>
    <w:p w14:paraId="00000020" w14:textId="77777777" w:rsidR="00876F31" w:rsidRDefault="00306B96">
      <w:pPr>
        <w:widowControl w:val="0"/>
        <w:ind w:left="720" w:right="38"/>
        <w:jc w:val="both"/>
        <w:rPr>
          <w:i/>
          <w:sz w:val="18"/>
          <w:szCs w:val="18"/>
        </w:rPr>
      </w:pPr>
      <w:r>
        <w:rPr>
          <w:i/>
        </w:rPr>
        <w:t>b)Solicitar requisitos no previstos en la normativa pertinente o distorsionar los requisitos previstos ex</w:t>
      </w:r>
      <w:r>
        <w:rPr>
          <w:i/>
        </w:rPr>
        <w:t>igiendo formalismos no contemplados.</w:t>
      </w:r>
    </w:p>
    <w:p w14:paraId="00000021" w14:textId="77777777" w:rsidR="00876F31" w:rsidRDefault="00876F31">
      <w:pPr>
        <w:widowControl w:val="0"/>
        <w:spacing w:line="276" w:lineRule="auto"/>
        <w:jc w:val="both"/>
        <w:rPr>
          <w:i/>
          <w:sz w:val="24"/>
          <w:szCs w:val="24"/>
        </w:rPr>
      </w:pPr>
    </w:p>
    <w:p w14:paraId="00000022" w14:textId="77777777" w:rsidR="00876F31" w:rsidRDefault="00306B96">
      <w:pPr>
        <w:widowControl w:val="0"/>
        <w:spacing w:line="276" w:lineRule="auto"/>
        <w:jc w:val="both"/>
        <w:rPr>
          <w:sz w:val="22"/>
          <w:szCs w:val="22"/>
        </w:rPr>
      </w:pPr>
      <w:r>
        <w:rPr>
          <w:sz w:val="22"/>
          <w:szCs w:val="22"/>
        </w:rPr>
        <w:t>Siendo por tanto indispensable que se dé trámite a esta solicitud  a brevedad posible y en el servicio de salud donde fue presentada que es aquel que se encuentra bajo su dirección, pues  la Corte Constitucional en el acto de admisión 91-22IN y acumulados,</w:t>
      </w:r>
      <w:r>
        <w:rPr>
          <w:sz w:val="22"/>
          <w:szCs w:val="22"/>
        </w:rPr>
        <w:t xml:space="preserve">   prohíbe la objeción de conciencia institucional y colectiva, y establece todo servicio de salud debe garantizar el acceso a un aborto legal. Igualmente al cumplir  con lo estipulado en el artículo 150, solicitar un aborto por causal violación, y formar </w:t>
      </w:r>
      <w:r>
        <w:rPr>
          <w:sz w:val="22"/>
          <w:szCs w:val="22"/>
        </w:rPr>
        <w:t xml:space="preserve">parte de un grupo de atención prioritaria, es su obligación  ustedes deben garantizar mi interes superior y resolver el procedimiento en el menor tiempo posible, siendo que de acuerdo a la ley, el proceso debe resolverse en máximo 4 días. </w:t>
      </w:r>
    </w:p>
    <w:p w14:paraId="00000023" w14:textId="77777777" w:rsidR="00876F31" w:rsidRDefault="00876F31">
      <w:pPr>
        <w:widowControl w:val="0"/>
        <w:spacing w:line="276" w:lineRule="auto"/>
        <w:jc w:val="both"/>
        <w:rPr>
          <w:sz w:val="22"/>
          <w:szCs w:val="22"/>
        </w:rPr>
      </w:pPr>
    </w:p>
    <w:p w14:paraId="00000024" w14:textId="77777777" w:rsidR="00876F31" w:rsidRDefault="00306B96">
      <w:pPr>
        <w:widowControl w:val="0"/>
        <w:spacing w:line="276" w:lineRule="auto"/>
        <w:jc w:val="both"/>
        <w:rPr>
          <w:sz w:val="22"/>
          <w:szCs w:val="22"/>
        </w:rPr>
      </w:pPr>
      <w:r>
        <w:rPr>
          <w:sz w:val="22"/>
          <w:szCs w:val="22"/>
        </w:rPr>
        <w:t>En relación a e</w:t>
      </w:r>
      <w:r>
        <w:rPr>
          <w:sz w:val="22"/>
          <w:szCs w:val="22"/>
        </w:rPr>
        <w:t>stos criterios y con el ánimo de dar mayores herramientas a la resolución positiva a favor de mis derechos, me permito indicar lo siguiente:</w:t>
      </w:r>
    </w:p>
    <w:p w14:paraId="00000025" w14:textId="77777777" w:rsidR="00876F31" w:rsidRDefault="00876F31">
      <w:pPr>
        <w:widowControl w:val="0"/>
        <w:spacing w:line="276" w:lineRule="auto"/>
        <w:jc w:val="both"/>
        <w:rPr>
          <w:sz w:val="22"/>
          <w:szCs w:val="22"/>
        </w:rPr>
      </w:pPr>
    </w:p>
    <w:p w14:paraId="00000026" w14:textId="77777777" w:rsidR="00876F31" w:rsidRDefault="00306B96">
      <w:pPr>
        <w:widowControl w:val="0"/>
        <w:numPr>
          <w:ilvl w:val="0"/>
          <w:numId w:val="2"/>
        </w:numPr>
        <w:spacing w:line="276" w:lineRule="auto"/>
        <w:jc w:val="both"/>
      </w:pPr>
      <w:r>
        <w:t>La Corte constitucional en su sentencia 34-19-IN y acumulados, en su ampliación y aclaración del 9 de junio del 20</w:t>
      </w:r>
      <w:r>
        <w:t xml:space="preserve">21 ha establecido que el consentimiento en casos de aborto producto de violación debe ser dado por la niña, adolescentes o mujer que requiera la práctica sin importar su edad, por lo que yo concurro en mis propios derechos a solicitar este servicio. </w:t>
      </w:r>
    </w:p>
    <w:p w14:paraId="00000027" w14:textId="77777777" w:rsidR="00876F31" w:rsidRDefault="00306B96">
      <w:pPr>
        <w:widowControl w:val="0"/>
        <w:numPr>
          <w:ilvl w:val="0"/>
          <w:numId w:val="2"/>
        </w:numPr>
        <w:spacing w:line="276" w:lineRule="auto"/>
        <w:jc w:val="both"/>
      </w:pPr>
      <w:r>
        <w:t>La no</w:t>
      </w:r>
      <w:r>
        <w:t>rmas de la ley orgánica que regula el acceso a la interrupción voluntaria del embarazo producto de violación que obligaban a tener  autorización previa  de los padres, madres o representantes legales a niñas, adolescentes, y personas gestantes menores de e</w:t>
      </w:r>
      <w:r>
        <w:t>dad NO estan vigentes pues la corte ha decidio suspenderlos por considerar que podrian ser vulneratorios de los derechos humanos de las niñas, adolescentes y personas gestantes menores de edad. Esto de acuerdo al auto de admisión de la causa 41-22-IN.</w:t>
      </w:r>
    </w:p>
    <w:p w14:paraId="00000028" w14:textId="77777777" w:rsidR="00876F31" w:rsidRDefault="00306B96">
      <w:pPr>
        <w:widowControl w:val="0"/>
        <w:numPr>
          <w:ilvl w:val="0"/>
          <w:numId w:val="2"/>
        </w:numPr>
        <w:spacing w:line="276" w:lineRule="auto"/>
        <w:jc w:val="both"/>
      </w:pPr>
      <w:r>
        <w:t>En e</w:t>
      </w:r>
      <w:r>
        <w:t xml:space="preserve">ste sentido es fundamental que seamos las niñas y adolescentes, quienes manifestamos nuestra voluntad sobre la realización de esta práctica para lo basta con que yo firme esta solicitud para que mi caso sea atendido conforme a la ley. </w:t>
      </w:r>
    </w:p>
    <w:p w14:paraId="00000029" w14:textId="77777777" w:rsidR="00876F31" w:rsidRDefault="00306B96">
      <w:pPr>
        <w:widowControl w:val="0"/>
        <w:numPr>
          <w:ilvl w:val="0"/>
          <w:numId w:val="2"/>
        </w:numPr>
        <w:spacing w:line="276" w:lineRule="auto"/>
        <w:jc w:val="both"/>
      </w:pPr>
      <w:r>
        <w:t xml:space="preserve">Al ser adolescente, </w:t>
      </w:r>
      <w:r>
        <w:t xml:space="preserve">cumplir con lo estipulado en el artículo 150, y solicitar un aborto por causal violación, solicito que la respueta a su solicitud sea urgente, pues formo parte de un grupo de atención prioritaria y ustedes deben garantizar mi interes superior.  </w:t>
      </w:r>
    </w:p>
    <w:p w14:paraId="0000002A" w14:textId="77777777" w:rsidR="00876F31" w:rsidRDefault="00306B96">
      <w:pPr>
        <w:widowControl w:val="0"/>
        <w:numPr>
          <w:ilvl w:val="0"/>
          <w:numId w:val="2"/>
        </w:numPr>
        <w:spacing w:line="276" w:lineRule="auto"/>
        <w:jc w:val="both"/>
      </w:pPr>
      <w:r>
        <w:lastRenderedPageBreak/>
        <w:t>Como es de</w:t>
      </w:r>
      <w:r>
        <w:t xml:space="preserve"> su conocimiento, tengo </w:t>
      </w:r>
      <w:r>
        <w:rPr>
          <w:highlight w:val="yellow"/>
        </w:rPr>
        <w:t>PONER EDAD</w:t>
      </w:r>
      <w:r>
        <w:t xml:space="preserve"> años de edad. Siendo que el embarazo implica un alto riesgo para mi, por lo que solicito que de forma prioritaria y urgente resuelvan mi pedido. </w:t>
      </w:r>
    </w:p>
    <w:p w14:paraId="0000002B" w14:textId="77777777" w:rsidR="00876F31" w:rsidRDefault="00306B96">
      <w:pPr>
        <w:widowControl w:val="0"/>
        <w:numPr>
          <w:ilvl w:val="0"/>
          <w:numId w:val="2"/>
        </w:numPr>
        <w:spacing w:line="276" w:lineRule="auto"/>
        <w:jc w:val="both"/>
        <w:rPr>
          <w:rFonts w:ascii="Arial" w:eastAsia="Arial" w:hAnsi="Arial" w:cs="Arial"/>
        </w:rPr>
      </w:pPr>
      <w:r>
        <w:rPr>
          <w:rFonts w:ascii="Arial" w:eastAsia="Arial" w:hAnsi="Arial" w:cs="Arial"/>
        </w:rPr>
        <w:t xml:space="preserve">Como lo ha señalado la corte, al ser victima de violencia sexual,  he sido </w:t>
      </w:r>
      <w:r>
        <w:rPr>
          <w:rFonts w:ascii="Arial" w:eastAsia="Arial" w:hAnsi="Arial" w:cs="Arial"/>
        </w:rPr>
        <w:t xml:space="preserve">objeto de vulneración a mis derechos humanos,  debido a la incapacidad del Estado de actuar para protegerme, garantizar mi derecho a la integridad y evitar la violación, y el embarazo que se da como consecuencia de la misma. </w:t>
      </w:r>
    </w:p>
    <w:p w14:paraId="0000002C" w14:textId="77777777" w:rsidR="00876F31" w:rsidRDefault="00306B96">
      <w:pPr>
        <w:widowControl w:val="0"/>
        <w:numPr>
          <w:ilvl w:val="0"/>
          <w:numId w:val="2"/>
        </w:numPr>
        <w:spacing w:line="276" w:lineRule="auto"/>
        <w:jc w:val="both"/>
        <w:rPr>
          <w:rFonts w:ascii="Arial" w:eastAsia="Arial" w:hAnsi="Arial" w:cs="Arial"/>
        </w:rPr>
      </w:pPr>
      <w:r>
        <w:rPr>
          <w:rFonts w:ascii="Arial" w:eastAsia="Arial" w:hAnsi="Arial" w:cs="Arial"/>
        </w:rPr>
        <w:t>El Ministerio de Salud Pública</w:t>
      </w:r>
      <w:r>
        <w:rPr>
          <w:rFonts w:ascii="Arial" w:eastAsia="Arial" w:hAnsi="Arial" w:cs="Arial"/>
        </w:rPr>
        <w:t xml:space="preserve"> ha expedido la Guía de Atención al Aborto Terapúetico para regular este procedimiento, esta guía fue expedida mediante Acuerdo Ministerial No. 5195. La misma establece el procedimiento para poder acceder a un aborto por violación en caso de mujeres con di</w:t>
      </w:r>
      <w:r>
        <w:rPr>
          <w:rFonts w:ascii="Arial" w:eastAsia="Arial" w:hAnsi="Arial" w:cs="Arial"/>
        </w:rPr>
        <w:t xml:space="preserve">scapacidad mental, el cual despues del 20 de abril del 2021 es extensible para cualquier mujer vicitma de violación pues al declarar la inconstitucionalidad de la frase en una mujer que padezca discapacidad mental, la Corte hace que este procedimiento sea </w:t>
      </w:r>
      <w:r>
        <w:rPr>
          <w:rFonts w:ascii="Arial" w:eastAsia="Arial" w:hAnsi="Arial" w:cs="Arial"/>
        </w:rPr>
        <w:t xml:space="preserve">legal para todas las mujeres y niñas victimas de violación que cursan un embarazo. </w:t>
      </w:r>
    </w:p>
    <w:p w14:paraId="0000002D" w14:textId="77777777" w:rsidR="00876F31" w:rsidRDefault="00876F31">
      <w:pPr>
        <w:widowControl w:val="0"/>
        <w:spacing w:line="276" w:lineRule="auto"/>
        <w:jc w:val="both"/>
        <w:rPr>
          <w:sz w:val="22"/>
          <w:szCs w:val="22"/>
        </w:rPr>
      </w:pPr>
    </w:p>
    <w:p w14:paraId="0000002E" w14:textId="77777777" w:rsidR="00876F31" w:rsidRDefault="00306B96">
      <w:pPr>
        <w:widowControl w:val="0"/>
        <w:spacing w:line="276" w:lineRule="auto"/>
        <w:jc w:val="both"/>
        <w:rPr>
          <w:sz w:val="22"/>
          <w:szCs w:val="22"/>
        </w:rPr>
      </w:pPr>
      <w:r>
        <w:rPr>
          <w:sz w:val="22"/>
          <w:szCs w:val="22"/>
        </w:rPr>
        <w:t xml:space="preserve">En mi caso,  igualmente existe una coexistencia de causales, pues la guía establece que también en caso de existir un riesgo a la </w:t>
      </w:r>
      <w:r>
        <w:rPr>
          <w:b/>
          <w:sz w:val="22"/>
          <w:szCs w:val="22"/>
        </w:rPr>
        <w:t xml:space="preserve">salud integral </w:t>
      </w:r>
      <w:r>
        <w:rPr>
          <w:sz w:val="22"/>
          <w:szCs w:val="22"/>
        </w:rPr>
        <w:t>de una mujer embaraza, ell</w:t>
      </w:r>
      <w:r>
        <w:rPr>
          <w:sz w:val="22"/>
          <w:szCs w:val="22"/>
        </w:rPr>
        <w:t>a puede acceder a un aborto no punible. Este es mi caso, pues curso un embarazo de alto riesgo debido a mi edad y todo el impacto que la violencia sexual ha tenido en mi salud mental y física. A  esto se suma el hecho de que  la evidencia científica es con</w:t>
      </w:r>
      <w:r>
        <w:rPr>
          <w:sz w:val="22"/>
          <w:szCs w:val="22"/>
        </w:rPr>
        <w:t>cluyente en afirmar que:</w:t>
      </w:r>
    </w:p>
    <w:p w14:paraId="0000002F" w14:textId="77777777" w:rsidR="00876F31" w:rsidRDefault="00876F31">
      <w:pPr>
        <w:widowControl w:val="0"/>
        <w:spacing w:line="276" w:lineRule="auto"/>
        <w:jc w:val="both"/>
        <w:rPr>
          <w:sz w:val="22"/>
          <w:szCs w:val="22"/>
        </w:rPr>
      </w:pPr>
    </w:p>
    <w:p w14:paraId="00000030" w14:textId="77777777" w:rsidR="00876F31" w:rsidRDefault="00306B96">
      <w:pPr>
        <w:widowControl w:val="0"/>
        <w:numPr>
          <w:ilvl w:val="0"/>
          <w:numId w:val="1"/>
        </w:numPr>
        <w:spacing w:line="276" w:lineRule="auto"/>
        <w:jc w:val="both"/>
      </w:pPr>
      <w:r>
        <w:t xml:space="preserve">Las  niñas y adolescentes de este rango de edad “(...) tienen hasta el triple de posibilidades de muerte por causas maternas en comparación con las mujeres adultas, y lo mismo ocurre con la muerte fetal tardía y con la mortalidad </w:t>
      </w:r>
      <w:r>
        <w:t>infantil”</w:t>
      </w:r>
      <w:r>
        <w:rPr>
          <w:vertAlign w:val="superscript"/>
        </w:rPr>
        <w:footnoteReference w:id="1"/>
      </w:r>
      <w:r>
        <w:t>.</w:t>
      </w:r>
    </w:p>
    <w:p w14:paraId="00000031" w14:textId="77777777" w:rsidR="00876F31" w:rsidRDefault="00876F31">
      <w:pPr>
        <w:widowControl w:val="0"/>
        <w:spacing w:line="276" w:lineRule="auto"/>
        <w:ind w:left="720"/>
        <w:jc w:val="both"/>
      </w:pPr>
    </w:p>
    <w:p w14:paraId="00000032" w14:textId="77777777" w:rsidR="00876F31" w:rsidRDefault="00306B96">
      <w:pPr>
        <w:widowControl w:val="0"/>
        <w:numPr>
          <w:ilvl w:val="0"/>
          <w:numId w:val="1"/>
        </w:numPr>
        <w:spacing w:line="276" w:lineRule="auto"/>
        <w:jc w:val="both"/>
      </w:pPr>
      <w:r>
        <w:rPr>
          <w:i/>
        </w:rPr>
        <w:t>De acuerdo con la evidencia, las niñas, mujeres en capacidad de abortar y adolescentes son un grupo especialmente vulnerable a morir durante el desarrollo del embarazo, el parto o el puerperio. El embarazo infantil y adolescente (entre 10 y 19</w:t>
      </w:r>
      <w:r>
        <w:rPr>
          <w:i/>
        </w:rPr>
        <w:t xml:space="preserve"> años) está asociado a peores resultados, tales como eclampsia, endometritis puerperal, infecciones sistémicas, bajo peso al nacer, parto pretérmino y diversas condiciones neonatales, en países de renta media y baja</w:t>
      </w:r>
      <w:r>
        <w:rPr>
          <w:i/>
          <w:vertAlign w:val="superscript"/>
        </w:rPr>
        <w:footnoteReference w:id="2"/>
      </w:r>
      <w:r>
        <w:rPr>
          <w:i/>
        </w:rPr>
        <w:t>.</w:t>
      </w:r>
    </w:p>
    <w:p w14:paraId="00000033" w14:textId="77777777" w:rsidR="00876F31" w:rsidRDefault="00306B96">
      <w:pPr>
        <w:widowControl w:val="0"/>
        <w:numPr>
          <w:ilvl w:val="0"/>
          <w:numId w:val="1"/>
        </w:numPr>
        <w:spacing w:before="240" w:after="240" w:line="276" w:lineRule="auto"/>
        <w:jc w:val="both"/>
        <w:rPr>
          <w:i/>
        </w:rPr>
      </w:pPr>
      <w:r>
        <w:t xml:space="preserve">La Guía de Práctica Clínica de Aborto </w:t>
      </w:r>
      <w:r>
        <w:t>Terapéutico, aprobada en registro oficial en el año 2014, instrumento legal que ustedes conocen, plantea que para la implementación de la causal salud o vida “se debe garantizar la prevención de cualquier peligro que ponga en riesgo la vida o salud integra</w:t>
      </w:r>
      <w:r>
        <w:t>l de la mujer (…) que incluye el cuidado de la misma en todos los aspectos”.</w:t>
      </w:r>
    </w:p>
    <w:p w14:paraId="00000034" w14:textId="77777777" w:rsidR="00876F31" w:rsidRDefault="00306B96">
      <w:pPr>
        <w:spacing w:after="240" w:line="276" w:lineRule="auto"/>
        <w:jc w:val="both"/>
        <w:rPr>
          <w:sz w:val="22"/>
          <w:szCs w:val="22"/>
        </w:rPr>
      </w:pPr>
      <w:r>
        <w:rPr>
          <w:sz w:val="22"/>
          <w:szCs w:val="22"/>
        </w:rPr>
        <w:t xml:space="preserve">En este sentido, solicito a ustedes que en mi caso </w:t>
      </w:r>
      <w:r>
        <w:rPr>
          <w:sz w:val="22"/>
          <w:szCs w:val="22"/>
          <w:highlight w:val="yellow"/>
        </w:rPr>
        <w:t>PONER NOMBRE DE LA ADOLESCENTE</w:t>
      </w:r>
      <w:r>
        <w:rPr>
          <w:sz w:val="22"/>
          <w:szCs w:val="22"/>
        </w:rPr>
        <w:t xml:space="preserve">, si por alguna razón no puedo acceder a la causal violación, sea manejado como un caso de causal </w:t>
      </w:r>
      <w:r>
        <w:rPr>
          <w:sz w:val="22"/>
          <w:szCs w:val="22"/>
        </w:rPr>
        <w:t xml:space="preserve">salud de acuerdo a lo establecido en la  Orgánica que Regula la Interrupción Voluntaria el Embarazo para Niñas, Adolescentes y Mujeres en caso de Violación. Considerando que incluso esta </w:t>
      </w:r>
      <w:r>
        <w:rPr>
          <w:b/>
          <w:sz w:val="22"/>
          <w:szCs w:val="22"/>
        </w:rPr>
        <w:t xml:space="preserve">Ley determina sanciones (10 salarios básicos) para los profesionales </w:t>
      </w:r>
      <w:r>
        <w:rPr>
          <w:b/>
          <w:sz w:val="22"/>
          <w:szCs w:val="22"/>
        </w:rPr>
        <w:t>de salud que no apliquen la coexistencia de causales</w:t>
      </w:r>
      <w:r>
        <w:rPr>
          <w:sz w:val="22"/>
          <w:szCs w:val="22"/>
        </w:rPr>
        <w:t xml:space="preserve"> cuando </w:t>
      </w:r>
      <w:r>
        <w:rPr>
          <w:sz w:val="22"/>
          <w:szCs w:val="22"/>
        </w:rPr>
        <w:lastRenderedPageBreak/>
        <w:t>exista, como sucede en el presente caso, donde la vida y salud de la mujer embarazada se encuentre en riesgo, esto de acuerdo al artículo 58 del mencionado cuerpo legal que establece:</w:t>
      </w:r>
    </w:p>
    <w:p w14:paraId="00000035" w14:textId="77777777" w:rsidR="00876F31" w:rsidRDefault="00306B96">
      <w:pPr>
        <w:spacing w:after="240" w:line="276" w:lineRule="auto"/>
        <w:ind w:left="720"/>
        <w:jc w:val="both"/>
      </w:pPr>
      <w:r>
        <w:t>Artículo 58.- De las infracciones sancionadas con multa de 10 salarios básicos unificados.- Al personal de salud se le podrá imponer multa de 10 salarios básico unificados del trabajador en general, por las siguientes infracciones:</w:t>
      </w:r>
    </w:p>
    <w:p w14:paraId="00000036" w14:textId="77777777" w:rsidR="00876F31" w:rsidRDefault="00306B96">
      <w:pPr>
        <w:spacing w:after="240" w:line="276" w:lineRule="auto"/>
        <w:ind w:left="1440"/>
        <w:jc w:val="both"/>
      </w:pPr>
      <w:r>
        <w:t>f) Inaplicar el principi</w:t>
      </w:r>
      <w:r>
        <w:t xml:space="preserve">o de coexistencia de causales que generen como resultado la negación de la interrupción legal del embarazo por violación a las vicitmas que se encuentren incursas en esta causal o en las otras previstas en la ley. </w:t>
      </w:r>
    </w:p>
    <w:p w14:paraId="00000037" w14:textId="77777777" w:rsidR="00876F31" w:rsidRDefault="00306B96">
      <w:pPr>
        <w:spacing w:after="240" w:line="276" w:lineRule="auto"/>
        <w:jc w:val="both"/>
        <w:rPr>
          <w:sz w:val="22"/>
          <w:szCs w:val="22"/>
        </w:rPr>
      </w:pPr>
      <w:r>
        <w:rPr>
          <w:sz w:val="22"/>
          <w:szCs w:val="22"/>
        </w:rPr>
        <w:t>El Estado tiene el rol de garantizar el a</w:t>
      </w:r>
      <w:r>
        <w:rPr>
          <w:sz w:val="22"/>
          <w:szCs w:val="22"/>
        </w:rPr>
        <w:t>cceso a abortos no punibles en el país acorde al marco legal vigente, que tienen como objetivo precautelar la vida y la salud integral de las niñas, adolescentes, ante posibles riesgos que la continuación del embarazo tenga para las mismas, al ser mi embar</w:t>
      </w:r>
      <w:r>
        <w:rPr>
          <w:sz w:val="22"/>
          <w:szCs w:val="22"/>
        </w:rPr>
        <w:t xml:space="preserve">azo producto de violación estos riesgos se incrementan y tengo derecho a acceder a un aborto por cualquiera de estas dos causales.  </w:t>
      </w:r>
      <w:r>
        <w:rPr>
          <w:b/>
          <w:sz w:val="22"/>
          <w:szCs w:val="22"/>
        </w:rPr>
        <w:t>Es un requisito inadecuado y por tanto ilegal solicitar autorización judicial o de fiscalía, y es obligación del hospital de</w:t>
      </w:r>
      <w:r>
        <w:rPr>
          <w:b/>
          <w:sz w:val="22"/>
          <w:szCs w:val="22"/>
        </w:rPr>
        <w:t xml:space="preserve"> acuerdo a este instrumento legal resolver mi petición de forma célere.</w:t>
      </w:r>
    </w:p>
    <w:p w14:paraId="00000038" w14:textId="77777777" w:rsidR="00876F31" w:rsidRDefault="00306B96">
      <w:pPr>
        <w:widowControl w:val="0"/>
        <w:pBdr>
          <w:top w:val="nil"/>
          <w:left w:val="nil"/>
          <w:bottom w:val="nil"/>
          <w:right w:val="nil"/>
          <w:between w:val="nil"/>
        </w:pBdr>
        <w:spacing w:before="240" w:after="240" w:line="276" w:lineRule="auto"/>
        <w:jc w:val="both"/>
        <w:rPr>
          <w:color w:val="000000"/>
          <w:sz w:val="22"/>
          <w:szCs w:val="22"/>
        </w:rPr>
      </w:pPr>
      <w:r>
        <w:rPr>
          <w:color w:val="000000"/>
          <w:sz w:val="22"/>
          <w:szCs w:val="22"/>
        </w:rPr>
        <w:t>La falta de acceso por parte de las mujeres al aborto no punible, constituye una violación sistemática de los derechos humanos</w:t>
      </w:r>
      <w:r>
        <w:rPr>
          <w:sz w:val="22"/>
          <w:szCs w:val="22"/>
        </w:rPr>
        <w:t xml:space="preserve">, </w:t>
      </w:r>
      <w:r>
        <w:rPr>
          <w:color w:val="000000"/>
          <w:sz w:val="22"/>
          <w:szCs w:val="22"/>
        </w:rPr>
        <w:t>especialmente de su derecho a la vida, salud, integridad, igualdad, a una vida libre de violencia, a la seguridad personal, a la autonomía, a la intimidad, a tomar decisiones sobre su vida reproductiva, a la autodeterminación sexual, a la dignidad, a la sa</w:t>
      </w:r>
      <w:r>
        <w:rPr>
          <w:color w:val="000000"/>
          <w:sz w:val="22"/>
          <w:szCs w:val="22"/>
        </w:rPr>
        <w:t>lud sexual, a la salud reproductiva, a la no discriminación, a gozar de los beneficios del progreso científico, y a no ser sometidas a tratos crueles, inhumanos y degradantes. Diversos organismos de Derechos Humanos en materia de estándares internacionales</w:t>
      </w:r>
      <w:r>
        <w:rPr>
          <w:color w:val="000000"/>
          <w:sz w:val="22"/>
          <w:szCs w:val="22"/>
        </w:rPr>
        <w:t xml:space="preserve"> de protección han establecido que cuando la vida</w:t>
      </w:r>
      <w:r>
        <w:rPr>
          <w:sz w:val="22"/>
          <w:szCs w:val="22"/>
        </w:rPr>
        <w:t xml:space="preserve">, </w:t>
      </w:r>
      <w:r>
        <w:rPr>
          <w:color w:val="000000"/>
          <w:sz w:val="22"/>
          <w:szCs w:val="22"/>
        </w:rPr>
        <w:t>salud</w:t>
      </w:r>
      <w:r>
        <w:rPr>
          <w:sz w:val="22"/>
          <w:szCs w:val="22"/>
        </w:rPr>
        <w:t xml:space="preserve">, integridad </w:t>
      </w:r>
      <w:r>
        <w:rPr>
          <w:color w:val="000000"/>
          <w:sz w:val="22"/>
          <w:szCs w:val="22"/>
        </w:rPr>
        <w:t>de la mujer está en riesgo se debe asegurar el acceso a una interrupción segura del embarazo a decisión</w:t>
      </w:r>
      <w:r>
        <w:rPr>
          <w:sz w:val="22"/>
          <w:szCs w:val="22"/>
        </w:rPr>
        <w:t xml:space="preserve"> </w:t>
      </w:r>
      <w:r>
        <w:rPr>
          <w:color w:val="000000"/>
          <w:sz w:val="22"/>
          <w:szCs w:val="22"/>
        </w:rPr>
        <w:t>de la mujer</w:t>
      </w:r>
      <w:r>
        <w:rPr>
          <w:color w:val="000000"/>
          <w:sz w:val="22"/>
          <w:szCs w:val="22"/>
          <w:vertAlign w:val="superscript"/>
        </w:rPr>
        <w:footnoteReference w:id="3"/>
      </w:r>
      <w:r>
        <w:rPr>
          <w:color w:val="000000"/>
          <w:sz w:val="22"/>
          <w:szCs w:val="22"/>
        </w:rPr>
        <w:t>, y garantizar la no negación de la atención médica</w:t>
      </w:r>
      <w:r>
        <w:rPr>
          <w:color w:val="000000"/>
          <w:sz w:val="22"/>
          <w:szCs w:val="22"/>
          <w:vertAlign w:val="superscript"/>
        </w:rPr>
        <w:footnoteReference w:id="4"/>
      </w:r>
      <w:r>
        <w:rPr>
          <w:color w:val="000000"/>
          <w:sz w:val="22"/>
          <w:szCs w:val="22"/>
        </w:rPr>
        <w:t xml:space="preserve"> necesaria para pre</w:t>
      </w:r>
      <w:r>
        <w:rPr>
          <w:color w:val="000000"/>
          <w:sz w:val="22"/>
          <w:szCs w:val="22"/>
        </w:rPr>
        <w:t>cautelar la vida y derechos de las mujeres. Este es el caso siempre que existe un embarazo producto de violaci</w:t>
      </w:r>
      <w:r>
        <w:rPr>
          <w:sz w:val="22"/>
          <w:szCs w:val="22"/>
        </w:rPr>
        <w:t>ón y así lo ha establecido la Corte Constitucional del Ecuador.</w:t>
      </w:r>
    </w:p>
    <w:p w14:paraId="00000039" w14:textId="77777777" w:rsidR="00876F31" w:rsidRDefault="00306B96">
      <w:pPr>
        <w:widowControl w:val="0"/>
        <w:pBdr>
          <w:top w:val="nil"/>
          <w:left w:val="nil"/>
          <w:bottom w:val="nil"/>
          <w:right w:val="nil"/>
          <w:between w:val="nil"/>
        </w:pBdr>
        <w:spacing w:before="240" w:after="240" w:line="276" w:lineRule="auto"/>
        <w:jc w:val="both"/>
        <w:rPr>
          <w:color w:val="000000"/>
          <w:sz w:val="22"/>
          <w:szCs w:val="22"/>
        </w:rPr>
      </w:pPr>
      <w:r>
        <w:rPr>
          <w:color w:val="000000"/>
          <w:sz w:val="22"/>
          <w:szCs w:val="22"/>
        </w:rPr>
        <w:t xml:space="preserve">Así mismo, </w:t>
      </w:r>
      <w:r>
        <w:rPr>
          <w:sz w:val="22"/>
          <w:szCs w:val="22"/>
        </w:rPr>
        <w:t xml:space="preserve">la resolución oportuna de mi caso, es coherente con </w:t>
      </w:r>
      <w:r>
        <w:rPr>
          <w:color w:val="000000"/>
          <w:sz w:val="22"/>
          <w:szCs w:val="22"/>
        </w:rPr>
        <w:t xml:space="preserve"> varios fallos del </w:t>
      </w:r>
      <w:r>
        <w:rPr>
          <w:color w:val="000000"/>
          <w:sz w:val="22"/>
          <w:szCs w:val="22"/>
        </w:rPr>
        <w:t>Comite de Derechos Humanos, y el Comite de la CEDAW, en los cuales se han pronunciado sobre la importancia de interpretar de forma acorde con los derech</w:t>
      </w:r>
      <w:r>
        <w:rPr>
          <w:rFonts w:ascii="Arial" w:eastAsia="Arial" w:hAnsi="Arial" w:cs="Arial"/>
          <w:color w:val="000000"/>
          <w:sz w:val="22"/>
          <w:szCs w:val="22"/>
        </w:rPr>
        <w:t xml:space="preserve">os </w:t>
      </w:r>
      <w:r>
        <w:rPr>
          <w:color w:val="000000"/>
          <w:sz w:val="22"/>
          <w:szCs w:val="22"/>
        </w:rPr>
        <w:t xml:space="preserve">humanos de las mujeres las causales legales existentes de aborto no </w:t>
      </w:r>
      <w:r>
        <w:rPr>
          <w:color w:val="000000"/>
          <w:sz w:val="22"/>
          <w:szCs w:val="22"/>
        </w:rPr>
        <w:lastRenderedPageBreak/>
        <w:t xml:space="preserve">punible. En el caso de la causal </w:t>
      </w:r>
      <w:r>
        <w:rPr>
          <w:color w:val="000000"/>
          <w:sz w:val="22"/>
          <w:szCs w:val="22"/>
        </w:rPr>
        <w:t xml:space="preserve">salud, es emblematico el caso de LC vs Perú, comunicación No. 22/2009, </w:t>
      </w:r>
      <w:r>
        <w:rPr>
          <w:b/>
          <w:color w:val="000000"/>
          <w:sz w:val="22"/>
          <w:szCs w:val="22"/>
        </w:rPr>
        <w:t>donde el estado peruano fue condenado por negar un aborto terapuético</w:t>
      </w:r>
      <w:r>
        <w:rPr>
          <w:color w:val="000000"/>
          <w:sz w:val="22"/>
          <w:szCs w:val="22"/>
        </w:rPr>
        <w:t xml:space="preserve"> a una niña de 13 años, sobreviviente de violencia sexual, cuyo embarazo ponia en peligro su salud física y mental, </w:t>
      </w:r>
      <w:r>
        <w:rPr>
          <w:color w:val="000000"/>
          <w:sz w:val="22"/>
          <w:szCs w:val="22"/>
        </w:rPr>
        <w:t>caso similar al de mi hija y cuyo dictamen debe tomarse en cuenta para resolver el mismo. A</w:t>
      </w:r>
      <w:r>
        <w:rPr>
          <w:sz w:val="22"/>
          <w:szCs w:val="22"/>
        </w:rPr>
        <w:t>l</w:t>
      </w:r>
      <w:r>
        <w:rPr>
          <w:color w:val="000000"/>
          <w:sz w:val="22"/>
          <w:szCs w:val="22"/>
        </w:rPr>
        <w:t xml:space="preserve"> </w:t>
      </w:r>
      <w:r>
        <w:rPr>
          <w:sz w:val="22"/>
          <w:szCs w:val="22"/>
        </w:rPr>
        <w:t xml:space="preserve">respecto, este comité estableció </w:t>
      </w:r>
    </w:p>
    <w:p w14:paraId="0000003A" w14:textId="77777777" w:rsidR="00876F31" w:rsidRDefault="00306B96">
      <w:pPr>
        <w:widowControl w:val="0"/>
        <w:pBdr>
          <w:top w:val="nil"/>
          <w:left w:val="nil"/>
          <w:bottom w:val="nil"/>
          <w:right w:val="nil"/>
          <w:between w:val="nil"/>
        </w:pBdr>
        <w:spacing w:before="240" w:after="240" w:line="276" w:lineRule="auto"/>
        <w:ind w:left="720"/>
        <w:jc w:val="both"/>
        <w:rPr>
          <w:color w:val="000000"/>
        </w:rPr>
      </w:pPr>
      <w:r>
        <w:rPr>
          <w:color w:val="000000"/>
        </w:rPr>
        <w:t>L.C (...) no tuvo acceso a un procedimiento eficaz y accesible que le permitiese establecer su derecho a los servicios de atenció</w:t>
      </w:r>
      <w:r>
        <w:rPr>
          <w:color w:val="000000"/>
        </w:rPr>
        <w:t>n médica que su estado de salud física y mental requería. Estos servicios comprendían tanto la operación de columna como el aborto terapéutico. Ello resulta tanto más grave si se tiene en cuenta que se trataba de una</w:t>
      </w:r>
      <w:r>
        <w:rPr>
          <w:b/>
          <w:color w:val="000000"/>
        </w:rPr>
        <w:t xml:space="preserve"> </w:t>
      </w:r>
      <w:r>
        <w:rPr>
          <w:color w:val="000000"/>
        </w:rPr>
        <w:t>menor, víctima de abusos sexuales. El i</w:t>
      </w:r>
      <w:r>
        <w:rPr>
          <w:color w:val="000000"/>
        </w:rPr>
        <w:t>ntento de suicidio demuestra el grado de sufrimiento mental por el que pasó como consecuencia de los abusos</w:t>
      </w:r>
      <w:r>
        <w:rPr>
          <w:b/>
          <w:color w:val="000000"/>
        </w:rPr>
        <w:t>.</w:t>
      </w:r>
      <w:r>
        <w:rPr>
          <w:color w:val="000000"/>
        </w:rPr>
        <w:t xml:space="preserve"> Por lo tanto, el Comité considera que los hechos descritos configuran una violación de los derechos que asisten a L. C. en virtud del artículo 12 d</w:t>
      </w:r>
      <w:r>
        <w:rPr>
          <w:color w:val="000000"/>
        </w:rPr>
        <w:t>e la Convención. Considera también que los hechos ponen de manifiesto una violación del artículo 5 de la Convención, ya que la decisión de aplazar la intervención quirúrgica debido al embarazo estuvo influenciada por el estereotipo de que la protección del</w:t>
      </w:r>
      <w:r>
        <w:rPr>
          <w:color w:val="000000"/>
        </w:rPr>
        <w:t xml:space="preserve"> feto debe prevalecer sobre la salud de la madre. </w:t>
      </w:r>
    </w:p>
    <w:p w14:paraId="0000003B" w14:textId="77777777" w:rsidR="00876F31" w:rsidRDefault="00306B96">
      <w:pPr>
        <w:widowControl w:val="0"/>
        <w:pBdr>
          <w:top w:val="nil"/>
          <w:left w:val="nil"/>
          <w:bottom w:val="nil"/>
          <w:right w:val="nil"/>
          <w:between w:val="nil"/>
        </w:pBdr>
        <w:spacing w:before="240" w:after="240" w:line="276" w:lineRule="auto"/>
        <w:jc w:val="both"/>
        <w:rPr>
          <w:sz w:val="22"/>
          <w:szCs w:val="22"/>
        </w:rPr>
      </w:pPr>
      <w:r>
        <w:rPr>
          <w:color w:val="000000"/>
          <w:sz w:val="22"/>
          <w:szCs w:val="22"/>
        </w:rPr>
        <w:t>En este sentido, y considerando que las sentencias de comites internacionales de derechos humanos son parte del bloque de constitucionalidad, solicito de resolución urgente a mi solicitud y se practi</w:t>
      </w:r>
      <w:r>
        <w:rPr>
          <w:sz w:val="22"/>
          <w:szCs w:val="22"/>
        </w:rPr>
        <w:t>que</w:t>
      </w:r>
      <w:r>
        <w:rPr>
          <w:color w:val="000000"/>
          <w:sz w:val="22"/>
          <w:szCs w:val="22"/>
        </w:rPr>
        <w:t xml:space="preserve"> el</w:t>
      </w:r>
      <w:r>
        <w:rPr>
          <w:color w:val="000000"/>
          <w:sz w:val="22"/>
          <w:szCs w:val="22"/>
        </w:rPr>
        <w:t xml:space="preserve"> aborto terapútico sin dilaciones.</w:t>
      </w:r>
    </w:p>
    <w:p w14:paraId="0000003C" w14:textId="77777777" w:rsidR="00876F31" w:rsidRDefault="00306B96">
      <w:pPr>
        <w:widowControl w:val="0"/>
        <w:spacing w:before="240" w:after="240" w:line="276" w:lineRule="auto"/>
        <w:jc w:val="both"/>
        <w:rPr>
          <w:sz w:val="22"/>
          <w:szCs w:val="22"/>
          <w:highlight w:val="white"/>
        </w:rPr>
      </w:pPr>
      <w:r>
        <w:rPr>
          <w:sz w:val="22"/>
          <w:szCs w:val="22"/>
        </w:rPr>
        <w:t xml:space="preserve">Las notificaciones y respuestas a mi solicitud las recibiré a los correos electrónicos </w:t>
      </w:r>
      <w:r>
        <w:rPr>
          <w:sz w:val="22"/>
          <w:szCs w:val="22"/>
          <w:highlight w:val="yellow"/>
        </w:rPr>
        <w:t>PONER EL CORREO DE ELLA</w:t>
      </w:r>
      <w:r>
        <w:rPr>
          <w:sz w:val="22"/>
          <w:szCs w:val="22"/>
        </w:rPr>
        <w:t xml:space="preserve">, </w:t>
      </w:r>
      <w:hyperlink r:id="rId8">
        <w:r>
          <w:rPr>
            <w:color w:val="1155CC"/>
            <w:sz w:val="22"/>
            <w:szCs w:val="22"/>
            <w:u w:val="single"/>
          </w:rPr>
          <w:t>surkuna.ec@gmail.com</w:t>
        </w:r>
      </w:hyperlink>
      <w:r>
        <w:rPr>
          <w:sz w:val="22"/>
          <w:szCs w:val="22"/>
        </w:rPr>
        <w:t xml:space="preserve">. Así como a los números </w:t>
      </w:r>
      <w:r>
        <w:rPr>
          <w:sz w:val="22"/>
          <w:szCs w:val="22"/>
          <w:highlight w:val="yellow"/>
        </w:rPr>
        <w:t>PONER EL NÚMERO D</w:t>
      </w:r>
      <w:r>
        <w:rPr>
          <w:sz w:val="22"/>
          <w:szCs w:val="22"/>
          <w:highlight w:val="yellow"/>
        </w:rPr>
        <w:t>E ELLA</w:t>
      </w:r>
      <w:r>
        <w:rPr>
          <w:sz w:val="22"/>
          <w:szCs w:val="22"/>
        </w:rPr>
        <w:t xml:space="preserve"> y </w:t>
      </w:r>
      <w:r>
        <w:rPr>
          <w:sz w:val="22"/>
          <w:szCs w:val="22"/>
          <w:highlight w:val="white"/>
        </w:rPr>
        <w:t>0963630034 (LIBRE - SURKUNA).</w:t>
      </w:r>
    </w:p>
    <w:p w14:paraId="0000003D" w14:textId="77777777" w:rsidR="00876F31" w:rsidRDefault="00306B96">
      <w:pPr>
        <w:widowControl w:val="0"/>
        <w:pBdr>
          <w:top w:val="nil"/>
          <w:left w:val="nil"/>
          <w:bottom w:val="nil"/>
          <w:right w:val="nil"/>
          <w:between w:val="nil"/>
        </w:pBdr>
        <w:spacing w:before="240" w:after="240" w:line="276" w:lineRule="auto"/>
        <w:jc w:val="both"/>
        <w:rPr>
          <w:color w:val="000000"/>
          <w:sz w:val="22"/>
          <w:szCs w:val="22"/>
        </w:rPr>
      </w:pPr>
      <w:r>
        <w:rPr>
          <w:color w:val="000000"/>
          <w:sz w:val="22"/>
          <w:szCs w:val="22"/>
        </w:rPr>
        <w:t>Atentamente,</w:t>
      </w:r>
    </w:p>
    <w:p w14:paraId="0000003E" w14:textId="77777777" w:rsidR="00876F31" w:rsidRDefault="00876F31">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3F" w14:textId="77777777" w:rsidR="00876F31" w:rsidRDefault="00876F31">
      <w:pPr>
        <w:widowControl w:val="0"/>
        <w:pBdr>
          <w:top w:val="nil"/>
          <w:left w:val="nil"/>
          <w:bottom w:val="nil"/>
          <w:right w:val="nil"/>
          <w:between w:val="nil"/>
        </w:pBdr>
        <w:spacing w:before="240" w:after="240" w:line="276" w:lineRule="auto"/>
        <w:jc w:val="both"/>
        <w:rPr>
          <w:rFonts w:ascii="Arial" w:eastAsia="Arial" w:hAnsi="Arial" w:cs="Arial"/>
          <w:sz w:val="22"/>
          <w:szCs w:val="22"/>
        </w:rPr>
      </w:pPr>
    </w:p>
    <w:p w14:paraId="00000040" w14:textId="77777777" w:rsidR="00876F31" w:rsidRDefault="00306B96">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FIRMA</w:t>
      </w:r>
    </w:p>
    <w:p w14:paraId="00000041" w14:textId="77777777" w:rsidR="00876F31" w:rsidRDefault="00306B96">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NOMBRE DE LA PACIENTE</w:t>
      </w:r>
    </w:p>
    <w:p w14:paraId="00000042" w14:textId="77777777" w:rsidR="00876F31" w:rsidRDefault="00306B96">
      <w:pPr>
        <w:widowControl w:val="0"/>
        <w:spacing w:line="276" w:lineRule="auto"/>
        <w:jc w:val="both"/>
        <w:rPr>
          <w:rFonts w:ascii="Arial" w:eastAsia="Arial" w:hAnsi="Arial" w:cs="Arial"/>
          <w:sz w:val="22"/>
          <w:szCs w:val="22"/>
          <w:highlight w:val="yellow"/>
        </w:rPr>
      </w:pPr>
      <w:r>
        <w:rPr>
          <w:rFonts w:ascii="Arial" w:eastAsia="Arial" w:hAnsi="Arial" w:cs="Arial"/>
          <w:sz w:val="22"/>
          <w:szCs w:val="22"/>
          <w:highlight w:val="yellow"/>
        </w:rPr>
        <w:t>CÉDULA DE LA PACIENTE</w:t>
      </w:r>
    </w:p>
    <w:p w14:paraId="00000043" w14:textId="77777777" w:rsidR="00876F31" w:rsidRDefault="00876F31">
      <w:pPr>
        <w:widowControl w:val="0"/>
        <w:spacing w:line="276" w:lineRule="auto"/>
        <w:jc w:val="both"/>
        <w:rPr>
          <w:rFonts w:ascii="Arial" w:eastAsia="Arial" w:hAnsi="Arial" w:cs="Arial"/>
          <w:sz w:val="22"/>
          <w:szCs w:val="22"/>
        </w:rPr>
      </w:pPr>
    </w:p>
    <w:p w14:paraId="00000044" w14:textId="77777777" w:rsidR="00876F31" w:rsidRDefault="00876F31">
      <w:pPr>
        <w:widowControl w:val="0"/>
        <w:spacing w:line="276" w:lineRule="auto"/>
        <w:jc w:val="both"/>
        <w:rPr>
          <w:rFonts w:ascii="Arial" w:eastAsia="Arial" w:hAnsi="Arial" w:cs="Arial"/>
          <w:sz w:val="22"/>
          <w:szCs w:val="22"/>
        </w:rPr>
      </w:pPr>
    </w:p>
    <w:p w14:paraId="00000045" w14:textId="77777777" w:rsidR="00876F31" w:rsidRDefault="00876F31">
      <w:pPr>
        <w:widowControl w:val="0"/>
        <w:spacing w:line="276" w:lineRule="auto"/>
        <w:jc w:val="both"/>
        <w:rPr>
          <w:rFonts w:ascii="Arial" w:eastAsia="Arial" w:hAnsi="Arial" w:cs="Arial"/>
          <w:sz w:val="22"/>
          <w:szCs w:val="22"/>
        </w:rPr>
      </w:pPr>
    </w:p>
    <w:p w14:paraId="00000046" w14:textId="77777777" w:rsidR="00876F31" w:rsidRDefault="00876F31">
      <w:pPr>
        <w:widowControl w:val="0"/>
        <w:spacing w:line="276" w:lineRule="auto"/>
        <w:jc w:val="both"/>
        <w:rPr>
          <w:rFonts w:ascii="Arial" w:eastAsia="Arial" w:hAnsi="Arial" w:cs="Arial"/>
          <w:sz w:val="22"/>
          <w:szCs w:val="22"/>
        </w:rPr>
      </w:pPr>
    </w:p>
    <w:p w14:paraId="00000047" w14:textId="382B4F6F" w:rsidR="00876F31" w:rsidRDefault="00306B96">
      <w:pPr>
        <w:widowControl w:val="0"/>
        <w:spacing w:line="276" w:lineRule="auto"/>
        <w:jc w:val="both"/>
        <w:rPr>
          <w:rFonts w:ascii="Arial" w:eastAsia="Arial" w:hAnsi="Arial" w:cs="Arial"/>
          <w:sz w:val="22"/>
          <w:szCs w:val="22"/>
        </w:rPr>
      </w:pPr>
      <w:r>
        <w:rPr>
          <w:rFonts w:ascii="Arial" w:eastAsia="Arial" w:hAnsi="Arial" w:cs="Arial"/>
          <w:sz w:val="22"/>
          <w:szCs w:val="22"/>
          <w:highlight w:val="yellow"/>
        </w:rPr>
        <w:t>EN CASO DE NECESITAR ASESORÍA Y ACOMPAÑAMIENTO LEGAL PARA ACCEDER AL ABORTO LEGAL, PUEDE CONTACTAR A NUESTRA LÍNEA “LIBRE”: 0963630034</w:t>
      </w:r>
    </w:p>
    <w:p w14:paraId="709322CC" w14:textId="77777777" w:rsidR="005E49CD" w:rsidRDefault="005E49CD">
      <w:pPr>
        <w:widowControl w:val="0"/>
        <w:spacing w:line="276" w:lineRule="auto"/>
        <w:jc w:val="both"/>
        <w:rPr>
          <w:rFonts w:ascii="Arial" w:eastAsia="Arial" w:hAnsi="Arial" w:cs="Arial"/>
          <w:color w:val="FF0000"/>
          <w:sz w:val="22"/>
          <w:szCs w:val="22"/>
        </w:rPr>
      </w:pPr>
      <w:bookmarkStart w:id="1" w:name="_GoBack"/>
      <w:bookmarkEnd w:id="1"/>
    </w:p>
    <w:sectPr w:rsidR="005E49C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F459F" w14:textId="77777777" w:rsidR="00306B96" w:rsidRDefault="00306B96">
      <w:r>
        <w:separator/>
      </w:r>
    </w:p>
  </w:endnote>
  <w:endnote w:type="continuationSeparator" w:id="0">
    <w:p w14:paraId="59FA3B73" w14:textId="77777777" w:rsidR="00306B96" w:rsidRDefault="0030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D072" w14:textId="77777777" w:rsidR="00306B96" w:rsidRDefault="00306B96">
      <w:r>
        <w:separator/>
      </w:r>
    </w:p>
  </w:footnote>
  <w:footnote w:type="continuationSeparator" w:id="0">
    <w:p w14:paraId="78B02EA9" w14:textId="77777777" w:rsidR="00306B96" w:rsidRDefault="00306B96">
      <w:r>
        <w:continuationSeparator/>
      </w:r>
    </w:p>
  </w:footnote>
  <w:footnote w:id="1">
    <w:p w14:paraId="00000048" w14:textId="77777777" w:rsidR="00876F31" w:rsidRDefault="00306B96">
      <w:pPr>
        <w:widowControl w:val="0"/>
        <w:spacing w:line="276" w:lineRule="auto"/>
        <w:rPr>
          <w:rFonts w:ascii="Arial" w:eastAsia="Arial" w:hAnsi="Arial" w:cs="Arial"/>
        </w:rPr>
      </w:pPr>
      <w:r>
        <w:rPr>
          <w:vertAlign w:val="superscript"/>
        </w:rPr>
        <w:footnoteRef/>
      </w:r>
      <w:r>
        <w:rPr>
          <w:rFonts w:ascii="Arial" w:eastAsia="Arial" w:hAnsi="Arial" w:cs="Arial"/>
        </w:rPr>
        <w:t xml:space="preserve"> MSP (s.f.). Antecedentes – Política Intersectorial de Prevención del Embarazo en Niñas y Adolescentes 2018-2025, dispon</w:t>
      </w:r>
      <w:r>
        <w:rPr>
          <w:rFonts w:ascii="Arial" w:eastAsia="Arial" w:hAnsi="Arial" w:cs="Arial"/>
        </w:rPr>
        <w:t xml:space="preserve">ible en: </w:t>
      </w:r>
      <w:hyperlink r:id="rId1">
        <w:r>
          <w:rPr>
            <w:rFonts w:ascii="Arial" w:eastAsia="Arial" w:hAnsi="Arial" w:cs="Arial"/>
            <w:color w:val="00000A"/>
            <w:u w:val="single"/>
          </w:rPr>
          <w:t>https://www.salud.gob.ec/antecedentes-politica-intersectorial-de-prevencion-del-embarazo-en-ninas-y-adol</w:t>
        </w:r>
        <w:r>
          <w:rPr>
            <w:rFonts w:ascii="Arial" w:eastAsia="Arial" w:hAnsi="Arial" w:cs="Arial"/>
            <w:color w:val="00000A"/>
            <w:u w:val="single"/>
          </w:rPr>
          <w:t>escentes-2018-2025/</w:t>
        </w:r>
      </w:hyperlink>
      <w:r>
        <w:rPr>
          <w:rFonts w:ascii="Arial" w:eastAsia="Arial" w:hAnsi="Arial" w:cs="Arial"/>
        </w:rPr>
        <w:t xml:space="preserve"> (última visita: 28 de octubre de 2020).</w:t>
      </w:r>
    </w:p>
  </w:footnote>
  <w:footnote w:id="2">
    <w:p w14:paraId="00000049" w14:textId="77777777" w:rsidR="00876F31" w:rsidRDefault="00306B96">
      <w:pPr>
        <w:spacing w:line="276" w:lineRule="auto"/>
        <w:jc w:val="both"/>
        <w:rPr>
          <w:rFonts w:ascii="Arial" w:eastAsia="Arial" w:hAnsi="Arial" w:cs="Arial"/>
          <w:i/>
          <w:sz w:val="22"/>
          <w:szCs w:val="22"/>
        </w:rPr>
      </w:pPr>
      <w:r>
        <w:rPr>
          <w:vertAlign w:val="superscript"/>
        </w:rPr>
        <w:footnoteRef/>
      </w:r>
      <w:r w:rsidRPr="005E49CD">
        <w:rPr>
          <w:rFonts w:ascii="Arial" w:eastAsia="Arial" w:hAnsi="Arial" w:cs="Arial"/>
          <w:i/>
          <w:lang w:val="en-US"/>
        </w:rPr>
        <w:t>Ganchimeg T, O. E. (2014)</w:t>
      </w:r>
      <w:r w:rsidRPr="005E49CD">
        <w:rPr>
          <w:rFonts w:ascii="Arial" w:eastAsia="Arial" w:hAnsi="Arial" w:cs="Arial"/>
          <w:lang w:val="en-US"/>
        </w:rPr>
        <w:t xml:space="preserve">, </w:t>
      </w:r>
      <w:r w:rsidRPr="005E49CD">
        <w:rPr>
          <w:rFonts w:ascii="Arial" w:eastAsia="Arial" w:hAnsi="Arial" w:cs="Arial"/>
          <w:i/>
          <w:lang w:val="en-US"/>
        </w:rPr>
        <w:t xml:space="preserve">Pregnancy and childbirth outcomes among adolescent mothers: a World Health Organization multicountry study. </w:t>
      </w:r>
      <w:r>
        <w:rPr>
          <w:rFonts w:ascii="Arial" w:eastAsia="Arial" w:hAnsi="Arial" w:cs="Arial"/>
          <w:i/>
        </w:rPr>
        <w:t>International Journal of Obstetrics &amp; Gynaecology.</w:t>
      </w:r>
    </w:p>
  </w:footnote>
  <w:footnote w:id="3">
    <w:p w14:paraId="0000004A" w14:textId="77777777" w:rsidR="00876F31" w:rsidRDefault="00306B96">
      <w:pPr>
        <w:widowControl w:val="0"/>
        <w:pBdr>
          <w:top w:val="nil"/>
          <w:left w:val="nil"/>
          <w:bottom w:val="nil"/>
          <w:right w:val="nil"/>
          <w:between w:val="nil"/>
        </w:pBdr>
        <w:spacing w:line="276" w:lineRule="auto"/>
        <w:jc w:val="both"/>
        <w:rPr>
          <w:rFonts w:ascii="Arial" w:eastAsia="Arial" w:hAnsi="Arial" w:cs="Arial"/>
          <w:color w:val="000000"/>
          <w:sz w:val="22"/>
          <w:szCs w:val="22"/>
        </w:rPr>
      </w:pPr>
      <w:r>
        <w:rPr>
          <w:vertAlign w:val="superscript"/>
        </w:rPr>
        <w:footnoteRef/>
      </w:r>
      <w:r>
        <w:rPr>
          <w:rFonts w:ascii="Arial" w:eastAsia="Arial" w:hAnsi="Arial" w:cs="Arial"/>
          <w:color w:val="000000"/>
        </w:rPr>
        <w:t xml:space="preserve"> </w:t>
      </w:r>
      <w:r>
        <w:rPr>
          <w:rFonts w:ascii="Arial" w:eastAsia="Arial" w:hAnsi="Arial" w:cs="Arial"/>
          <w:color w:val="000000"/>
          <w:sz w:val="16"/>
          <w:szCs w:val="16"/>
        </w:rPr>
        <w:t xml:space="preserve">Diversos organismos de Derechos Humanos en materia de estándares internacionales de protección han </w:t>
      </w:r>
      <w:r>
        <w:rPr>
          <w:rFonts w:ascii="Arial" w:eastAsia="Arial" w:hAnsi="Arial" w:cs="Arial"/>
          <w:sz w:val="16"/>
          <w:szCs w:val="16"/>
        </w:rPr>
        <w:t>establecido</w:t>
      </w:r>
      <w:r>
        <w:rPr>
          <w:rFonts w:ascii="Arial" w:eastAsia="Arial" w:hAnsi="Arial" w:cs="Arial"/>
          <w:color w:val="000000"/>
          <w:sz w:val="16"/>
          <w:szCs w:val="16"/>
        </w:rPr>
        <w:t xml:space="preserve"> que cuando la vida y salud de la mujer está en riesgo se debe asegurar el acceso a una interrupción segura del embarazo a decisión de la mujer. E</w:t>
      </w:r>
      <w:r>
        <w:rPr>
          <w:rFonts w:ascii="Arial" w:eastAsia="Arial" w:hAnsi="Arial" w:cs="Arial"/>
          <w:color w:val="000000"/>
          <w:sz w:val="16"/>
          <w:szCs w:val="16"/>
        </w:rPr>
        <w:t>n este sentido, considerando que la ilegalidad del aborto genera condiciones de riesgo para la integridad, vida y salud de las mujeres al obligarlas a buscar servicios clandestinos e inseguros que las exponen a muertes y complicaciones, podemos afirmar que</w:t>
      </w:r>
      <w:r>
        <w:rPr>
          <w:rFonts w:ascii="Arial" w:eastAsia="Arial" w:hAnsi="Arial" w:cs="Arial"/>
          <w:color w:val="000000"/>
          <w:sz w:val="16"/>
          <w:szCs w:val="16"/>
        </w:rPr>
        <w:t xml:space="preserve"> la misma constituye una violación a los artículos: Art. 4 de la Convención Americana de Derechos Humanos, Art.12 de la CEDAW, Art. 6 del Pacto de Derechos Civiles y Políticos, Art.25 de la Declaración Universal de Derechos Humanos, Art. 5 de la Convención</w:t>
      </w:r>
      <w:r>
        <w:rPr>
          <w:rFonts w:ascii="Arial" w:eastAsia="Arial" w:hAnsi="Arial" w:cs="Arial"/>
          <w:color w:val="000000"/>
          <w:sz w:val="16"/>
          <w:szCs w:val="16"/>
        </w:rPr>
        <w:t xml:space="preserve"> Internacional sobre la Eliminación de todas las Formas de Discriminación Racial, Art. 24 de la convención sobre los Derechos del niño, el Art. del Pacto Internacional de Derechos Económicos, Sociales y Culturales; el Art. 10 del Protocolo de San Salvador,</w:t>
      </w:r>
      <w:r>
        <w:rPr>
          <w:rFonts w:ascii="Arial" w:eastAsia="Arial" w:hAnsi="Arial" w:cs="Arial"/>
          <w:color w:val="000000"/>
          <w:sz w:val="16"/>
          <w:szCs w:val="16"/>
        </w:rPr>
        <w:t xml:space="preserve"> entre otros. La Corte Interamericana de Derechos Humanos en las medidas cautelares dictadas respecto del Salvador en el caso B, caso de riesgo a la vida de la mujer al continuar un embarazo padeciendo de lupus, estableció “ requerir al estado de El Salvad</w:t>
      </w:r>
      <w:r>
        <w:rPr>
          <w:rFonts w:ascii="Arial" w:eastAsia="Arial" w:hAnsi="Arial" w:cs="Arial"/>
          <w:color w:val="000000"/>
          <w:sz w:val="16"/>
          <w:szCs w:val="16"/>
        </w:rPr>
        <w:t>or que adopte y garantice, de manera urgente, todas las medidas que sean necesarias y efectivas para que el grupo médico tratante de la señora B. pueda adoptar, sin interferencia alguna, las medidas médicas que se consideren oportunas y convenientes para a</w:t>
      </w:r>
      <w:r>
        <w:rPr>
          <w:rFonts w:ascii="Arial" w:eastAsia="Arial" w:hAnsi="Arial" w:cs="Arial"/>
          <w:color w:val="000000"/>
          <w:sz w:val="16"/>
          <w:szCs w:val="16"/>
        </w:rPr>
        <w:t>segurar la debida protección de los derechos consagrados en los artículos 4 y 5 de la Convención Americana y, de este modo, evitar daños que pudiesen llegar a ser irreparables a los derechos a la vida y la integridad personal y a la salud de la señora B.”</w:t>
      </w:r>
    </w:p>
  </w:footnote>
  <w:footnote w:id="4">
    <w:p w14:paraId="0000004B" w14:textId="77777777" w:rsidR="00876F31" w:rsidRDefault="00306B96">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heading=h.gjdgxs" w:colFirst="0" w:colLast="0"/>
      <w:bookmarkEnd w:id="0"/>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La Corte Interamericana de Derechos Humanos en varias sentencias ha reconocido que el derecho a la vida y la integridad se relacionan con el acceso a atención médica.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245DB"/>
    <w:multiLevelType w:val="multilevel"/>
    <w:tmpl w:val="5C1863FC"/>
    <w:lvl w:ilvl="0">
      <w:start w:val="1"/>
      <w:numFmt w:val="lowerRoman"/>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 w15:restartNumberingAfterBreak="0">
    <w:nsid w:val="4A364AE6"/>
    <w:multiLevelType w:val="multilevel"/>
    <w:tmpl w:val="3162E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31"/>
    <w:rsid w:val="00306B96"/>
    <w:rsid w:val="005E49CD"/>
    <w:rsid w:val="00876F31"/>
    <w:rsid w:val="00CA771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0638E473"/>
  <w15:docId w15:val="{8CF928B2-8BD9-8344-B7FC-40D6D80F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urkuna.e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lud.gob.ec/antecedentes-politica-intersectorial-de-prevencion-del-embarazo-en-ninas-y-adolescentes-2018-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rGPikdyxc7R+FtuzgUP7tGBrEA==">AMUW2mXrhuA/56na5WvDfPMUkgSXVGQAfKPlLWJ9GYt96dliQZsiByJEBgnChNeXRFSuWGVWDMSTc4lkfnbMIZ9g3JSdk59Swg5Utn8/KLEv2ME+KtcX/9c05uoiZkzELmLLqnjGt6eG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2177</Words>
  <Characters>11974</Characters>
  <Application>Microsoft Office Word</Application>
  <DocSecurity>0</DocSecurity>
  <Lines>99</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2022-09-19T17:19:00Z</dcterms:created>
  <dcterms:modified xsi:type="dcterms:W3CDTF">2023-03-09T20:52:00Z</dcterms:modified>
</cp:coreProperties>
</file>